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Helvetica" w:hAnsi="Helvetica" w:cs="Helvetica" w:eastAsia="Helvetica"/>
          <w:color w:val="auto"/>
          <w:spacing w:val="0"/>
          <w:position w:val="0"/>
          <w:sz w:val="22"/>
          <w:shd w:fill="auto" w:val="clear"/>
        </w:rPr>
      </w:pPr>
    </w:p>
    <w:p>
      <w:pPr>
        <w:spacing w:before="0" w:after="0" w:line="240"/>
        <w:ind w:right="0" w:left="0" w:firstLine="0"/>
        <w:jc w:val="left"/>
        <w:rPr>
          <w:rFonts w:ascii="Helvetica" w:hAnsi="Helvetica" w:cs="Helvetica" w:eastAsia="Helvetica"/>
          <w:color w:val="auto"/>
          <w:spacing w:val="0"/>
          <w:position w:val="0"/>
          <w:sz w:val="22"/>
          <w:shd w:fill="auto" w:val="clear"/>
        </w:rPr>
      </w:pPr>
    </w:p>
    <w:p>
      <w:pPr>
        <w:spacing w:before="0" w:after="0" w:line="240"/>
        <w:ind w:right="0" w:left="0" w:firstLine="0"/>
        <w:jc w:val="left"/>
        <w:rPr>
          <w:rFonts w:ascii="Helvetica" w:hAnsi="Helvetica" w:cs="Helvetica" w:eastAsia="Helvetica"/>
          <w:color w:val="auto"/>
          <w:spacing w:val="0"/>
          <w:position w:val="0"/>
          <w:sz w:val="22"/>
          <w:shd w:fill="auto" w:val="clear"/>
        </w:rPr>
      </w:pPr>
    </w:p>
    <w:p>
      <w:pPr>
        <w:tabs>
          <w:tab w:val="left" w:pos="0" w:leader="none"/>
        </w:tabs>
        <w:spacing w:before="0" w:after="0" w:line="240"/>
        <w:ind w:right="0" w:left="0" w:firstLine="0"/>
        <w:jc w:val="left"/>
        <w:rPr>
          <w:rFonts w:ascii="Helvetica" w:hAnsi="Helvetica" w:cs="Helvetica" w:eastAsia="Helvetica"/>
          <w:color w:val="auto"/>
          <w:spacing w:val="0"/>
          <w:position w:val="0"/>
          <w:sz w:val="22"/>
          <w:shd w:fill="auto" w:val="clear"/>
        </w:rPr>
      </w:pPr>
    </w:p>
    <w:p>
      <w:pPr>
        <w:numPr>
          <w:ilvl w:val="0"/>
          <w:numId w:val="3"/>
        </w:numPr>
        <w:tabs>
          <w:tab w:val="left" w:pos="360" w:leader="none"/>
        </w:tabs>
        <w:spacing w:before="0" w:after="0" w:line="240"/>
        <w:ind w:right="0" w:left="1080" w:hanging="720"/>
        <w:jc w:val="left"/>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Product Form:</w:t>
      </w:r>
      <w:r>
        <w:rPr>
          <w:rFonts w:ascii="Helvetica" w:hAnsi="Helvetica" w:cs="Helvetica" w:eastAsia="Helvetica"/>
          <w:color w:val="auto"/>
          <w:spacing w:val="0"/>
          <w:position w:val="0"/>
          <w:sz w:val="22"/>
          <w:shd w:fill="auto" w:val="clear"/>
        </w:rPr>
        <w:t xml:space="preserve"> </w:t>
        <w:tab/>
        <w:t xml:space="preserve">Composite Aluminum Panels of Aluminum Skin Face Sheets </w:t>
        <w:tab/>
        <w:tab/>
        <w:tab/>
        <w:tab/>
        <w:t xml:space="preserve">Bonded to Polyethylene Core with High Performance        </w:t>
        <w:tab/>
        <w:tab/>
        <w:tab/>
        <w:t xml:space="preserve">     </w:t>
        <w:tab/>
        <w:tab/>
        <w:t xml:space="preserve">Fluorocarbon Coating Finish</w:t>
      </w:r>
    </w:p>
    <w:p>
      <w:pPr>
        <w:tabs>
          <w:tab w:val="left" w:pos="360" w:leader="none"/>
        </w:tabs>
        <w:spacing w:before="0" w:after="0" w:line="240"/>
        <w:ind w:right="0" w:left="1080" w:firstLine="0"/>
        <w:jc w:val="left"/>
        <w:rPr>
          <w:rFonts w:ascii="Helvetica" w:hAnsi="Helvetica" w:cs="Helvetica" w:eastAsia="Helvetica"/>
          <w:color w:val="auto"/>
          <w:spacing w:val="0"/>
          <w:position w:val="0"/>
          <w:sz w:val="22"/>
          <w:shd w:fill="auto" w:val="clear"/>
        </w:rPr>
      </w:pPr>
    </w:p>
    <w:p>
      <w:pPr>
        <w:tabs>
          <w:tab w:val="left" w:pos="360" w:leader="none"/>
        </w:tabs>
        <w:spacing w:before="0" w:after="0" w:line="240"/>
        <w:ind w:right="0" w:left="1080" w:firstLine="0"/>
        <w:jc w:val="left"/>
        <w:rPr>
          <w:rFonts w:ascii="Helvetica" w:hAnsi="Helvetica" w:cs="Helvetica" w:eastAsia="Helvetica"/>
          <w:color w:val="000000"/>
          <w:spacing w:val="0"/>
          <w:position w:val="0"/>
          <w:sz w:val="22"/>
          <w:shd w:fill="auto" w:val="clear"/>
        </w:rPr>
      </w:pPr>
      <w:r>
        <w:rPr>
          <w:rFonts w:ascii="Helvetica" w:hAnsi="Helvetica" w:cs="Helvetica" w:eastAsia="Helvetica"/>
          <w:b/>
          <w:color w:val="auto"/>
          <w:spacing w:val="0"/>
          <w:position w:val="0"/>
          <w:sz w:val="22"/>
          <w:shd w:fill="auto" w:val="clear"/>
        </w:rPr>
        <w:t xml:space="preserve">Product Name:</w:t>
      </w:r>
      <w:r>
        <w:rPr>
          <w:rFonts w:ascii="Helvetica" w:hAnsi="Helvetica" w:cs="Helvetica" w:eastAsia="Helvetica"/>
          <w:color w:val="auto"/>
          <w:spacing w:val="0"/>
          <w:position w:val="0"/>
          <w:sz w:val="22"/>
          <w:shd w:fill="auto" w:val="clear"/>
        </w:rPr>
        <w:t xml:space="preserve"> </w:t>
        <w:tab/>
      </w:r>
      <w:r>
        <w:rPr>
          <w:rFonts w:ascii="Helvetica" w:hAnsi="Helvetica" w:cs="Helvetica" w:eastAsia="Helvetica"/>
          <w:color w:val="000000"/>
          <w:spacing w:val="0"/>
          <w:position w:val="0"/>
          <w:sz w:val="22"/>
          <w:shd w:fill="auto" w:val="clear"/>
        </w:rPr>
        <w:t xml:space="preserve">AL13 Architectural Systems</w:t>
      </w:r>
      <w:r>
        <w:rPr>
          <w:rFonts w:ascii="Arial Black" w:hAnsi="Arial Black" w:cs="Arial Black" w:eastAsia="Arial Black"/>
          <w:color w:val="auto"/>
          <w:spacing w:val="0"/>
          <w:position w:val="0"/>
          <w:sz w:val="20"/>
          <w:shd w:fill="auto" w:val="clear"/>
          <w:vertAlign w:val="subscript"/>
        </w:rPr>
        <w:t xml:space="preserve">®</w:t>
      </w:r>
      <w:r>
        <w:rPr>
          <w:rFonts w:ascii="Helvetica" w:hAnsi="Helvetica" w:cs="Helvetica" w:eastAsia="Helvetica"/>
          <w:color w:val="000000"/>
          <w:spacing w:val="0"/>
          <w:position w:val="0"/>
          <w:sz w:val="22"/>
          <w:shd w:fill="auto" w:val="clear"/>
        </w:rPr>
        <w:t xml:space="preserve"> - Panel System</w:t>
      </w:r>
    </w:p>
    <w:p>
      <w:pPr>
        <w:tabs>
          <w:tab w:val="left" w:pos="360" w:leader="none"/>
        </w:tabs>
        <w:spacing w:before="0" w:after="0" w:line="240"/>
        <w:ind w:right="0" w:left="1080" w:firstLine="0"/>
        <w:jc w:val="left"/>
        <w:rPr>
          <w:rFonts w:ascii="Helvetica" w:hAnsi="Helvetica" w:cs="Helvetica" w:eastAsia="Helvetica"/>
          <w:color w:val="auto"/>
          <w:spacing w:val="0"/>
          <w:position w:val="0"/>
          <w:sz w:val="22"/>
          <w:shd w:fill="auto" w:val="clear"/>
        </w:rPr>
      </w:pPr>
    </w:p>
    <w:p>
      <w:pPr>
        <w:tabs>
          <w:tab w:val="left" w:pos="360" w:leader="none"/>
        </w:tabs>
        <w:spacing w:before="0" w:after="0" w:line="240"/>
        <w:ind w:right="0" w:left="1080" w:firstLine="0"/>
        <w:jc w:val="left"/>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Synonyms:</w:t>
      </w:r>
      <w:r>
        <w:rPr>
          <w:rFonts w:ascii="Helvetica" w:hAnsi="Helvetica" w:cs="Helvetica" w:eastAsia="Helvetica"/>
          <w:color w:val="auto"/>
          <w:spacing w:val="0"/>
          <w:position w:val="0"/>
          <w:sz w:val="22"/>
          <w:shd w:fill="auto" w:val="clear"/>
        </w:rPr>
        <w:t xml:space="preserve"> </w:t>
        <w:tab/>
        <w:t xml:space="preserve">Metal Composite Material</w:t>
      </w:r>
    </w:p>
    <w:p>
      <w:pPr>
        <w:tabs>
          <w:tab w:val="left" w:pos="360" w:leader="none"/>
        </w:tabs>
        <w:spacing w:before="0" w:after="0" w:line="240"/>
        <w:ind w:right="0" w:left="1080" w:firstLine="0"/>
        <w:jc w:val="left"/>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tab/>
      </w:r>
      <w:r>
        <w:rPr>
          <w:rFonts w:ascii="Helvetica" w:hAnsi="Helvetica" w:cs="Helvetica" w:eastAsia="Helvetica"/>
          <w:color w:val="auto"/>
          <w:spacing w:val="0"/>
          <w:position w:val="0"/>
          <w:sz w:val="22"/>
          <w:shd w:fill="auto" w:val="clear"/>
        </w:rPr>
        <w:t xml:space="preserve">Polymer-based and Polymer-modified Exterior and Interior Wall </w:t>
        <w:tab/>
        <w:tab/>
        <w:tab/>
        <w:tab/>
        <w:t xml:space="preserve">Cladding</w:t>
      </w:r>
    </w:p>
    <w:p>
      <w:pPr>
        <w:tabs>
          <w:tab w:val="left" w:pos="360" w:leader="none"/>
        </w:tabs>
        <w:spacing w:before="0" w:after="0" w:line="240"/>
        <w:ind w:right="0" w:left="1080" w:firstLine="0"/>
        <w:jc w:val="left"/>
        <w:rPr>
          <w:rFonts w:ascii="Helvetica" w:hAnsi="Helvetica" w:cs="Helvetica" w:eastAsia="Helvetica"/>
          <w:color w:val="auto"/>
          <w:spacing w:val="0"/>
          <w:position w:val="0"/>
          <w:sz w:val="22"/>
          <w:shd w:fill="auto" w:val="clear"/>
        </w:rPr>
      </w:pPr>
    </w:p>
    <w:p>
      <w:pPr>
        <w:numPr>
          <w:ilvl w:val="0"/>
          <w:numId w:val="5"/>
        </w:numPr>
        <w:tabs>
          <w:tab w:val="left" w:pos="360" w:leader="none"/>
        </w:tabs>
        <w:spacing w:before="0" w:after="0" w:line="240"/>
        <w:ind w:right="0" w:left="1080" w:hanging="720"/>
        <w:jc w:val="left"/>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Intended Use:</w:t>
      </w:r>
      <w:r>
        <w:rPr>
          <w:rFonts w:ascii="Helvetica" w:hAnsi="Helvetica" w:cs="Helvetica" w:eastAsia="Helvetica"/>
          <w:color w:val="auto"/>
          <w:spacing w:val="0"/>
          <w:position w:val="0"/>
          <w:sz w:val="22"/>
          <w:shd w:fill="auto" w:val="clear"/>
        </w:rPr>
        <w:tab/>
        <w:t xml:space="preserve">Designed for cladding applications to provide an effective rain </w:t>
        <w:tab/>
        <w:tab/>
        <w:tab/>
        <w:tab/>
        <w:t xml:space="preserve">screen panel wall system.</w:t>
      </w:r>
    </w:p>
    <w:p>
      <w:pPr>
        <w:tabs>
          <w:tab w:val="left" w:pos="360" w:leader="none"/>
        </w:tabs>
        <w:spacing w:before="0" w:after="0" w:line="240"/>
        <w:ind w:right="0" w:left="1080" w:firstLine="0"/>
        <w:jc w:val="left"/>
        <w:rPr>
          <w:rFonts w:ascii="Helvetica" w:hAnsi="Helvetica" w:cs="Helvetica" w:eastAsia="Helvetica"/>
          <w:color w:val="auto"/>
          <w:spacing w:val="0"/>
          <w:position w:val="0"/>
          <w:sz w:val="22"/>
          <w:shd w:fill="auto" w:val="clear"/>
        </w:rPr>
      </w:pPr>
    </w:p>
    <w:p>
      <w:pPr>
        <w:numPr>
          <w:ilvl w:val="0"/>
          <w:numId w:val="7"/>
        </w:numPr>
        <w:tabs>
          <w:tab w:val="left" w:pos="360" w:leader="none"/>
        </w:tabs>
        <w:spacing w:before="0" w:after="0" w:line="240"/>
        <w:ind w:right="0" w:left="1080" w:hanging="720"/>
        <w:jc w:val="left"/>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Responsible Party:</w:t>
      </w:r>
      <w:r>
        <w:rPr>
          <w:rFonts w:ascii="Helvetica" w:hAnsi="Helvetica" w:cs="Helvetica" w:eastAsia="Helvetica"/>
          <w:color w:val="auto"/>
          <w:spacing w:val="0"/>
          <w:position w:val="0"/>
          <w:sz w:val="22"/>
          <w:shd w:fill="auto" w:val="clear"/>
        </w:rPr>
        <w:tab/>
        <w:t xml:space="preserve">AL13 Architectural Systems</w:t>
      </w:r>
      <w:r>
        <w:rPr>
          <w:rFonts w:ascii="Arial Black" w:hAnsi="Arial Black" w:cs="Arial Black" w:eastAsia="Arial Black"/>
          <w:color w:val="auto"/>
          <w:spacing w:val="0"/>
          <w:position w:val="0"/>
          <w:sz w:val="20"/>
          <w:shd w:fill="auto" w:val="clear"/>
          <w:vertAlign w:val="subscript"/>
        </w:rPr>
        <w:t xml:space="preserve">®</w:t>
      </w:r>
    </w:p>
    <w:p>
      <w:pPr>
        <w:tabs>
          <w:tab w:val="left" w:pos="360" w:leader="none"/>
        </w:tabs>
        <w:spacing w:before="0" w:after="0" w:line="240"/>
        <w:ind w:right="0" w:left="108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ab/>
        <w:t xml:space="preserve">1278 Cliveden Avenue Delta</w:t>
      </w:r>
    </w:p>
    <w:p>
      <w:pPr>
        <w:tabs>
          <w:tab w:val="left" w:pos="360" w:leader="none"/>
        </w:tabs>
        <w:spacing w:before="0" w:after="0" w:line="240"/>
        <w:ind w:right="0" w:left="108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ab/>
        <w:t xml:space="preserve">BC. Canada V3M 6G4</w:t>
      </w:r>
    </w:p>
    <w:p>
      <w:pPr>
        <w:tabs>
          <w:tab w:val="left" w:pos="360" w:leader="none"/>
        </w:tabs>
        <w:spacing w:before="0" w:after="0" w:line="240"/>
        <w:ind w:right="0" w:left="1080" w:firstLine="0"/>
        <w:jc w:val="left"/>
        <w:rPr>
          <w:rFonts w:ascii="Helvetica" w:hAnsi="Helvetica" w:cs="Helvetica" w:eastAsia="Helvetica"/>
          <w:color w:val="auto"/>
          <w:spacing w:val="0"/>
          <w:position w:val="0"/>
          <w:sz w:val="22"/>
          <w:shd w:fill="auto" w:val="clear"/>
        </w:rPr>
      </w:pPr>
    </w:p>
    <w:p>
      <w:pPr>
        <w:numPr>
          <w:ilvl w:val="0"/>
          <w:numId w:val="9"/>
        </w:numPr>
        <w:tabs>
          <w:tab w:val="left" w:pos="360" w:leader="none"/>
        </w:tabs>
        <w:spacing w:before="0" w:after="0" w:line="240"/>
        <w:ind w:right="0" w:left="1080" w:hanging="720"/>
        <w:jc w:val="left"/>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Emergency Number:</w:t>
      </w:r>
      <w:r>
        <w:rPr>
          <w:rFonts w:ascii="Helvetica" w:hAnsi="Helvetica" w:cs="Helvetica" w:eastAsia="Helvetica"/>
          <w:color w:val="auto"/>
          <w:spacing w:val="0"/>
          <w:position w:val="0"/>
          <w:sz w:val="22"/>
          <w:shd w:fill="auto" w:val="clear"/>
        </w:rPr>
        <w:tab/>
        <w:t xml:space="preserve">1-800-535-5053</w:t>
      </w:r>
    </w:p>
    <w:p>
      <w:pPr>
        <w:tabs>
          <w:tab w:val="left" w:pos="360" w:leader="none"/>
        </w:tabs>
        <w:spacing w:before="0" w:after="0" w:line="240"/>
        <w:ind w:right="0" w:left="0" w:firstLine="0"/>
        <w:jc w:val="left"/>
        <w:rPr>
          <w:rFonts w:ascii="Helvetica" w:hAnsi="Helvetica" w:cs="Helvetica" w:eastAsia="Helvetica"/>
          <w:color w:val="auto"/>
          <w:spacing w:val="0"/>
          <w:position w:val="0"/>
          <w:sz w:val="22"/>
          <w:shd w:fill="FFFF00" w:val="clear"/>
        </w:rPr>
      </w:pPr>
    </w:p>
    <w:p>
      <w:pPr>
        <w:tabs>
          <w:tab w:val="left" w:pos="360" w:leader="none"/>
        </w:tabs>
        <w:spacing w:before="0" w:after="0" w:line="240"/>
        <w:ind w:right="0" w:left="0" w:firstLine="0"/>
        <w:jc w:val="left"/>
        <w:rPr>
          <w:rFonts w:ascii="Helvetica" w:hAnsi="Helvetica" w:cs="Helvetica" w:eastAsia="Helvetica"/>
          <w:color w:val="auto"/>
          <w:spacing w:val="0"/>
          <w:position w:val="0"/>
          <w:sz w:val="22"/>
          <w:shd w:fill="FFFF00" w:val="clear"/>
        </w:rPr>
      </w:pPr>
    </w:p>
    <w:p>
      <w:pPr>
        <w:spacing w:before="0" w:after="0" w:line="240"/>
        <w:ind w:right="0" w:left="0" w:firstLine="0"/>
        <w:jc w:val="left"/>
        <w:rPr>
          <w:rFonts w:ascii="Gadugi" w:hAnsi="Gadugi" w:cs="Gadugi" w:eastAsia="Gadugi"/>
          <w:color w:val="auto"/>
          <w:spacing w:val="0"/>
          <w:position w:val="0"/>
          <w:sz w:val="24"/>
          <w:shd w:fill="FFFF00" w:val="clear"/>
        </w:rPr>
      </w:pPr>
    </w:p>
    <w:p>
      <w:pPr>
        <w:spacing w:before="0" w:after="0" w:line="240"/>
        <w:ind w:right="0" w:left="0" w:firstLine="0"/>
        <w:jc w:val="left"/>
        <w:rPr>
          <w:rFonts w:ascii="Helvetica" w:hAnsi="Helvetica" w:cs="Helvetica" w:eastAsia="Helvetica"/>
          <w:color w:val="auto"/>
          <w:spacing w:val="0"/>
          <w:position w:val="0"/>
          <w:sz w:val="21"/>
          <w:shd w:fill="FFFF00" w:val="clear"/>
        </w:rPr>
      </w:pPr>
    </w:p>
    <w:p>
      <w:pPr>
        <w:tabs>
          <w:tab w:val="left" w:pos="360" w:leader="none"/>
          <w:tab w:val="left" w:pos="1080" w:leader="none"/>
        </w:tabs>
        <w:spacing w:before="0" w:after="12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2.1 </w:t>
        <w:tab/>
      </w:r>
      <w:r>
        <w:rPr>
          <w:rFonts w:ascii="Helvetica" w:hAnsi="Helvetica" w:cs="Helvetica" w:eastAsia="Helvetica"/>
          <w:b/>
          <w:color w:val="auto"/>
          <w:spacing w:val="0"/>
          <w:position w:val="0"/>
          <w:sz w:val="22"/>
          <w:shd w:fill="auto" w:val="clear"/>
        </w:rPr>
        <w:t xml:space="preserve">Classification:</w:t>
      </w:r>
      <w:r>
        <w:rPr>
          <w:rFonts w:ascii="Helvetica" w:hAnsi="Helvetica" w:cs="Helvetica" w:eastAsia="Helvetica"/>
          <w:color w:val="auto"/>
          <w:spacing w:val="0"/>
          <w:position w:val="0"/>
          <w:sz w:val="22"/>
          <w:shd w:fill="auto" w:val="clear"/>
        </w:rPr>
        <w:tab/>
        <w:t xml:space="preserve">Finished aluminum product.</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Hazard:</w:t>
        <w:tab/>
        <w:tab/>
      </w:r>
      <w:r>
        <w:rPr>
          <w:rFonts w:ascii="Helvetica" w:hAnsi="Helvetica" w:cs="Helvetica" w:eastAsia="Helvetica"/>
          <w:color w:val="auto"/>
          <w:spacing w:val="0"/>
          <w:position w:val="0"/>
          <w:sz w:val="22"/>
          <w:shd w:fill="auto" w:val="clear"/>
        </w:rPr>
        <w:t xml:space="preserve">AL13 Architectural Systems</w:t>
      </w:r>
      <w:r>
        <w:rPr>
          <w:rFonts w:ascii="Arial Black" w:hAnsi="Arial Black" w:cs="Arial Black" w:eastAsia="Arial Black"/>
          <w:color w:val="auto"/>
          <w:spacing w:val="0"/>
          <w:position w:val="0"/>
          <w:sz w:val="20"/>
          <w:shd w:fill="auto" w:val="clear"/>
          <w:vertAlign w:val="subscript"/>
        </w:rPr>
        <w:t xml:space="preserve">®</w:t>
      </w:r>
      <w:r>
        <w:rPr>
          <w:rFonts w:ascii="Helvetica" w:hAnsi="Helvetica" w:cs="Helvetica" w:eastAsia="Helvetica"/>
          <w:b/>
          <w:color w:val="auto"/>
          <w:spacing w:val="0"/>
          <w:position w:val="0"/>
          <w:sz w:val="22"/>
          <w:shd w:fill="auto" w:val="clear"/>
        </w:rPr>
        <w:t xml:space="preserve"> </w:t>
      </w:r>
      <w:r>
        <w:rPr>
          <w:rFonts w:ascii="Helvetica" w:hAnsi="Helvetica" w:cs="Helvetica" w:eastAsia="Helvetica"/>
          <w:color w:val="auto"/>
          <w:spacing w:val="0"/>
          <w:position w:val="0"/>
          <w:sz w:val="22"/>
          <w:shd w:fill="auto" w:val="clear"/>
        </w:rPr>
        <w:t xml:space="preserve">Panel is defined as an article under</w:t>
        <w:tab/>
        <w:tab/>
        <w:tab/>
        <w:tab/>
        <w:tab/>
        <w:tab/>
        <w:t xml:space="preserve">the OSHA Hazard Communications standard. The standard</w:t>
        <w:tab/>
        <w:tab/>
        <w:tab/>
        <w:tab/>
        <w:tab/>
        <w:tab/>
        <w:t xml:space="preserve">applies to “chemicals”, but it does not apply to any substance, </w:t>
        <w:tab/>
        <w:tab/>
        <w:tab/>
        <w:tab/>
        <w:tab/>
        <w:tab/>
        <w:t xml:space="preserve">which is an “article”. The term “article” is defined in the OSHA</w:t>
        <w:tab/>
        <w:tab/>
        <w:tab/>
        <w:tab/>
        <w:tab/>
        <w:tab/>
        <w:t xml:space="preserve">warning rule as a manufactured item:</w:t>
      </w:r>
    </w:p>
    <w:p>
      <w:pPr>
        <w:numPr>
          <w:ilvl w:val="0"/>
          <w:numId w:val="14"/>
        </w:numPr>
        <w:tabs>
          <w:tab w:val="left" w:pos="360" w:leader="none"/>
          <w:tab w:val="left" w:pos="1080" w:leader="none"/>
        </w:tabs>
        <w:spacing w:before="0" w:after="0" w:line="240"/>
        <w:ind w:right="0" w:left="3240" w:hanging="36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which is formed to a specific design during manufacturer.</w:t>
      </w:r>
    </w:p>
    <w:p>
      <w:pPr>
        <w:numPr>
          <w:ilvl w:val="0"/>
          <w:numId w:val="14"/>
        </w:numPr>
        <w:tabs>
          <w:tab w:val="left" w:pos="360" w:leader="none"/>
          <w:tab w:val="left" w:pos="1080" w:leader="none"/>
        </w:tabs>
        <w:spacing w:before="0" w:after="0" w:line="240"/>
        <w:ind w:right="0" w:left="3240" w:hanging="36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which has end use function(s) dependent in whole or in part upon its shape or design use during end use.</w:t>
      </w:r>
    </w:p>
    <w:p>
      <w:pPr>
        <w:numPr>
          <w:ilvl w:val="0"/>
          <w:numId w:val="14"/>
        </w:numPr>
        <w:tabs>
          <w:tab w:val="left" w:pos="360" w:leader="none"/>
          <w:tab w:val="left" w:pos="1080" w:leader="none"/>
        </w:tabs>
        <w:spacing w:before="0" w:after="0" w:line="240"/>
        <w:ind w:right="0" w:left="3240" w:hanging="36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Which does not release or otherwise result in exposure to hazardous chemicals under normal conditions of use.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tab/>
        <w:tab/>
        <w:tab/>
      </w:r>
      <w:r>
        <w:rPr>
          <w:rFonts w:ascii="Helvetica" w:hAnsi="Helvetica" w:cs="Helvetica" w:eastAsia="Helvetica"/>
          <w:color w:val="auto"/>
          <w:spacing w:val="0"/>
          <w:position w:val="0"/>
          <w:sz w:val="22"/>
          <w:shd w:fill="auto" w:val="clear"/>
        </w:rPr>
        <w:t xml:space="preserve">Not classified as a hazardous material when handling or under </w:t>
        <w:tab/>
        <w:tab/>
        <w:tab/>
        <w:tab/>
        <w:tab/>
        <w:tab/>
        <w:t xml:space="preserve">normal use. </w:t>
      </w:r>
    </w:p>
    <w:p>
      <w:pPr>
        <w:tabs>
          <w:tab w:val="left" w:pos="360" w:leader="none"/>
          <w:tab w:val="left" w:pos="1080" w:leader="none"/>
        </w:tabs>
        <w:spacing w:before="0" w:after="120" w:line="240"/>
        <w:ind w:right="0" w:left="288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No hazardous polymerization when stored under normal conditions. </w:t>
      </w:r>
    </w:p>
    <w:p>
      <w:pPr>
        <w:tabs>
          <w:tab w:val="left" w:pos="360" w:leader="none"/>
          <w:tab w:val="left" w:pos="1080" w:leader="none"/>
        </w:tabs>
        <w:spacing w:before="0" w:after="12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2.2</w:t>
        <w:tab/>
      </w:r>
      <w:r>
        <w:rPr>
          <w:rFonts w:ascii="Helvetica" w:hAnsi="Helvetica" w:cs="Helvetica" w:eastAsia="Helvetica"/>
          <w:b/>
          <w:color w:val="auto"/>
          <w:spacing w:val="0"/>
          <w:position w:val="0"/>
          <w:sz w:val="22"/>
          <w:shd w:fill="auto" w:val="clear"/>
        </w:rPr>
        <w:t xml:space="preserve">Labeling:</w:t>
      </w:r>
      <w:r>
        <w:rPr>
          <w:rFonts w:ascii="Helvetica" w:hAnsi="Helvetica" w:cs="Helvetica" w:eastAsia="Helvetica"/>
          <w:color w:val="auto"/>
          <w:spacing w:val="0"/>
          <w:position w:val="0"/>
          <w:sz w:val="22"/>
          <w:shd w:fill="auto" w:val="clear"/>
        </w:rPr>
        <w:tab/>
        <w:tab/>
        <w:t xml:space="preserve">Not applicable</w:t>
      </w:r>
    </w:p>
    <w:p>
      <w:pPr>
        <w:tabs>
          <w:tab w:val="left" w:pos="360" w:leader="none"/>
          <w:tab w:val="left" w:pos="1080" w:leader="none"/>
        </w:tabs>
        <w:spacing w:before="0" w:after="12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2.3</w:t>
        <w:tab/>
      </w:r>
      <w:r>
        <w:rPr>
          <w:rFonts w:ascii="Helvetica" w:hAnsi="Helvetica" w:cs="Helvetica" w:eastAsia="Helvetica"/>
          <w:b/>
          <w:color w:val="auto"/>
          <w:spacing w:val="0"/>
          <w:position w:val="0"/>
          <w:sz w:val="22"/>
          <w:shd w:fill="auto" w:val="clear"/>
        </w:rPr>
        <w:t xml:space="preserve">Other Hazards:</w:t>
      </w:r>
      <w:r>
        <w:rPr>
          <w:rFonts w:ascii="Helvetica" w:hAnsi="Helvetica" w:cs="Helvetica" w:eastAsia="Helvetica"/>
          <w:color w:val="auto"/>
          <w:spacing w:val="0"/>
          <w:position w:val="0"/>
          <w:sz w:val="22"/>
          <w:shd w:fill="auto" w:val="clear"/>
        </w:rPr>
        <w:tab/>
        <w:t xml:space="preserve">WARNING! - sawing, grinding, and machining may cause dust and/or fumes to be released. These fumes may be harmful if inhaled and may irritate the eyes, skin, and respiratory tract. Molten material may cause thermal burns.</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2.4</w:t>
        <w:tab/>
      </w:r>
      <w:r>
        <w:rPr>
          <w:rFonts w:ascii="Helvetica" w:hAnsi="Helvetica" w:cs="Helvetica" w:eastAsia="Helvetica"/>
          <w:b/>
          <w:color w:val="auto"/>
          <w:spacing w:val="0"/>
          <w:position w:val="0"/>
          <w:sz w:val="22"/>
          <w:shd w:fill="auto" w:val="clear"/>
        </w:rPr>
        <w:t xml:space="preserve">Unknown Acute Toxicity (GHS-US):</w:t>
      </w:r>
      <w:r>
        <w:rPr>
          <w:rFonts w:ascii="Helvetica" w:hAnsi="Helvetica" w:cs="Helvetica" w:eastAsia="Helvetica"/>
          <w:color w:val="auto"/>
          <w:spacing w:val="0"/>
          <w:position w:val="0"/>
          <w:sz w:val="22"/>
          <w:shd w:fill="auto" w:val="clear"/>
        </w:rPr>
        <w:tab/>
        <w:t xml:space="preserve">No information at this time.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12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3.1</w:t>
        <w:tab/>
      </w:r>
      <w:r>
        <w:rPr>
          <w:rFonts w:ascii="Helvetica" w:hAnsi="Helvetica" w:cs="Helvetica" w:eastAsia="Helvetica"/>
          <w:b/>
          <w:color w:val="auto"/>
          <w:spacing w:val="0"/>
          <w:position w:val="0"/>
          <w:sz w:val="22"/>
          <w:shd w:fill="auto" w:val="clear"/>
        </w:rPr>
        <w:t xml:space="preserve">Substance:</w:t>
      </w:r>
      <w:r>
        <w:rPr>
          <w:rFonts w:ascii="Helvetica" w:hAnsi="Helvetica" w:cs="Helvetica" w:eastAsia="Helvetica"/>
          <w:color w:val="auto"/>
          <w:spacing w:val="0"/>
          <w:position w:val="0"/>
          <w:sz w:val="22"/>
          <w:shd w:fill="auto" w:val="clear"/>
        </w:rPr>
        <w:tab/>
        <w:t xml:space="preserve">Not applicable</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3.2</w:t>
        <w:tab/>
      </w:r>
      <w:r>
        <w:rPr>
          <w:rFonts w:ascii="Helvetica" w:hAnsi="Helvetica" w:cs="Helvetica" w:eastAsia="Helvetica"/>
          <w:b/>
          <w:color w:val="auto"/>
          <w:spacing w:val="0"/>
          <w:position w:val="0"/>
          <w:sz w:val="22"/>
          <w:shd w:fill="auto" w:val="clear"/>
        </w:rPr>
        <w:t xml:space="preserve">Mixture:</w:t>
      </w:r>
    </w:p>
    <w:tbl>
      <w:tblPr>
        <w:tblInd w:w="355" w:type="dxa"/>
      </w:tblPr>
      <w:tblGrid>
        <w:gridCol w:w="3960"/>
        <w:gridCol w:w="2610"/>
        <w:gridCol w:w="2425"/>
      </w:tblGrid>
      <w:tr>
        <w:trPr>
          <w:trHeight w:val="1" w:hRule="atLeast"/>
          <w:jc w:val="left"/>
        </w:trPr>
        <w:tc>
          <w:tcPr>
            <w:tcW w:w="3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both"/>
              <w:rPr>
                <w:color w:val="auto"/>
                <w:spacing w:val="0"/>
                <w:position w:val="0"/>
                <w:shd w:fill="auto" w:val="clear"/>
              </w:rPr>
            </w:pPr>
            <w:r>
              <w:rPr>
                <w:rFonts w:ascii="Helvetica" w:hAnsi="Helvetica" w:cs="Helvetica" w:eastAsia="Helvetica"/>
                <w:b/>
                <w:color w:val="auto"/>
                <w:spacing w:val="0"/>
                <w:position w:val="0"/>
                <w:sz w:val="21"/>
                <w:shd w:fill="auto" w:val="clear"/>
              </w:rPr>
              <w:t xml:space="preserve">Chemical/Material</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b/>
                <w:color w:val="auto"/>
                <w:spacing w:val="0"/>
                <w:position w:val="0"/>
                <w:sz w:val="21"/>
                <w:shd w:fill="auto" w:val="clear"/>
              </w:rPr>
              <w:t xml:space="preserve">CAS Number</w:t>
            </w:r>
          </w:p>
        </w:tc>
        <w:tc>
          <w:tcPr>
            <w:tcW w:w="2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b/>
                <w:color w:val="auto"/>
                <w:spacing w:val="0"/>
                <w:position w:val="0"/>
                <w:sz w:val="21"/>
                <w:shd w:fill="auto" w:val="clear"/>
              </w:rPr>
              <w:t xml:space="preserve">Weight %</w:t>
            </w:r>
          </w:p>
        </w:tc>
      </w:tr>
      <w:tr>
        <w:trPr>
          <w:trHeight w:val="1" w:hRule="atLeast"/>
          <w:jc w:val="left"/>
        </w:trPr>
        <w:tc>
          <w:tcPr>
            <w:tcW w:w="3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both"/>
              <w:rPr>
                <w:color w:val="auto"/>
                <w:spacing w:val="0"/>
                <w:position w:val="0"/>
                <w:shd w:fill="auto" w:val="clear"/>
              </w:rPr>
            </w:pPr>
            <w:r>
              <w:rPr>
                <w:rFonts w:ascii="Helvetica" w:hAnsi="Helvetica" w:cs="Helvetica" w:eastAsia="Helvetica"/>
                <w:b/>
                <w:color w:val="auto"/>
                <w:spacing w:val="0"/>
                <w:position w:val="0"/>
                <w:sz w:val="21"/>
                <w:shd w:fill="auto" w:val="clear"/>
              </w:rPr>
              <w:t xml:space="preserve">Aluminum Face Sheets-</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2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w:t>
            </w:r>
          </w:p>
        </w:tc>
      </w:tr>
      <w:tr>
        <w:trPr>
          <w:trHeight w:val="1" w:hRule="atLeast"/>
          <w:jc w:val="left"/>
        </w:trPr>
        <w:tc>
          <w:tcPr>
            <w:tcW w:w="3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Aluminum</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7429-90-5</w:t>
            </w:r>
          </w:p>
        </w:tc>
        <w:tc>
          <w:tcPr>
            <w:tcW w:w="2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30 </w:t>
            </w:r>
            <w:r>
              <w:rPr>
                <w:rFonts w:ascii="Helvetica" w:hAnsi="Helvetica" w:cs="Helvetica" w:eastAsia="Helvetica"/>
                <w:color w:val="000000"/>
                <w:spacing w:val="0"/>
                <w:position w:val="0"/>
                <w:sz w:val="21"/>
                <w:shd w:fill="auto" w:val="clear"/>
              </w:rPr>
              <w:t xml:space="preserve">–</w:t>
            </w:r>
            <w:r>
              <w:rPr>
                <w:rFonts w:ascii="Helvetica" w:hAnsi="Helvetica" w:cs="Helvetica" w:eastAsia="Helvetica"/>
                <w:color w:val="000000"/>
                <w:spacing w:val="0"/>
                <w:position w:val="0"/>
                <w:sz w:val="21"/>
                <w:shd w:fill="auto" w:val="clear"/>
              </w:rPr>
              <w:t xml:space="preserve"> 60%</w:t>
            </w:r>
          </w:p>
        </w:tc>
      </w:tr>
      <w:tr>
        <w:trPr>
          <w:trHeight w:val="83" w:hRule="auto"/>
          <w:jc w:val="left"/>
        </w:trPr>
        <w:tc>
          <w:tcPr>
            <w:tcW w:w="3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Manganese</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7439-96-5</w:t>
            </w:r>
          </w:p>
        </w:tc>
        <w:tc>
          <w:tcPr>
            <w:tcW w:w="2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&lt; 1%</w:t>
            </w:r>
          </w:p>
        </w:tc>
      </w:tr>
      <w:tr>
        <w:trPr>
          <w:trHeight w:val="83" w:hRule="auto"/>
          <w:jc w:val="left"/>
        </w:trPr>
        <w:tc>
          <w:tcPr>
            <w:tcW w:w="3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both"/>
              <w:rPr>
                <w:color w:val="auto"/>
                <w:spacing w:val="0"/>
                <w:position w:val="0"/>
                <w:shd w:fill="auto" w:val="clear"/>
              </w:rPr>
            </w:pPr>
            <w:r>
              <w:rPr>
                <w:rFonts w:ascii="Helvetica" w:hAnsi="Helvetica" w:cs="Helvetica" w:eastAsia="Helvetica"/>
                <w:b/>
                <w:color w:val="auto"/>
                <w:spacing w:val="0"/>
                <w:position w:val="0"/>
                <w:sz w:val="21"/>
                <w:shd w:fill="auto" w:val="clear"/>
              </w:rPr>
              <w:t xml:space="preserve">Composite May Contain-</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2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w:t>
            </w:r>
          </w:p>
        </w:tc>
      </w:tr>
      <w:tr>
        <w:trPr>
          <w:trHeight w:val="83" w:hRule="auto"/>
          <w:jc w:val="left"/>
        </w:trPr>
        <w:tc>
          <w:tcPr>
            <w:tcW w:w="3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Thermoplastic polymer</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none</w:t>
            </w:r>
          </w:p>
        </w:tc>
        <w:tc>
          <w:tcPr>
            <w:tcW w:w="2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&lt; 60%</w:t>
            </w:r>
          </w:p>
        </w:tc>
      </w:tr>
      <w:tr>
        <w:trPr>
          <w:trHeight w:val="83" w:hRule="auto"/>
          <w:jc w:val="left"/>
        </w:trPr>
        <w:tc>
          <w:tcPr>
            <w:tcW w:w="3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Aluminum oxide</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1344-28-1</w:t>
            </w:r>
          </w:p>
        </w:tc>
        <w:tc>
          <w:tcPr>
            <w:tcW w:w="2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&lt; 25%</w:t>
            </w:r>
          </w:p>
        </w:tc>
      </w:tr>
      <w:tr>
        <w:trPr>
          <w:trHeight w:val="83" w:hRule="auto"/>
          <w:jc w:val="left"/>
        </w:trPr>
        <w:tc>
          <w:tcPr>
            <w:tcW w:w="3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Petroleum distillates</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64742-47-8</w:t>
            </w:r>
          </w:p>
        </w:tc>
        <w:tc>
          <w:tcPr>
            <w:tcW w:w="2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&lt; 4%</w:t>
            </w:r>
          </w:p>
        </w:tc>
      </w:tr>
      <w:tr>
        <w:trPr>
          <w:trHeight w:val="83" w:hRule="auto"/>
          <w:jc w:val="left"/>
        </w:trPr>
        <w:tc>
          <w:tcPr>
            <w:tcW w:w="3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hd w:fill="auto" w:val="clear"/>
              </w:rPr>
            </w:pPr>
            <w:r>
              <w:rPr>
                <w:rFonts w:ascii="Helvetica" w:hAnsi="Helvetica" w:cs="Helvetica" w:eastAsia="Helvetica"/>
                <w:b/>
                <w:color w:val="auto"/>
                <w:spacing w:val="0"/>
                <w:position w:val="0"/>
                <w:sz w:val="21"/>
                <w:shd w:fill="auto" w:val="clear"/>
              </w:rPr>
              <w:t xml:space="preserve">Coating May Contain-</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2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83" w:hRule="auto"/>
          <w:jc w:val="left"/>
        </w:trPr>
        <w:tc>
          <w:tcPr>
            <w:tcW w:w="3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Titanium compounds</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13463-67-7</w:t>
            </w:r>
          </w:p>
        </w:tc>
        <w:tc>
          <w:tcPr>
            <w:tcW w:w="2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 &lt; 2%</w:t>
            </w:r>
          </w:p>
        </w:tc>
      </w:tr>
      <w:tr>
        <w:trPr>
          <w:trHeight w:val="83" w:hRule="auto"/>
          <w:jc w:val="left"/>
        </w:trPr>
        <w:tc>
          <w:tcPr>
            <w:tcW w:w="3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Cobalt compounds</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7440-48-4</w:t>
            </w:r>
          </w:p>
        </w:tc>
        <w:tc>
          <w:tcPr>
            <w:tcW w:w="2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&lt; 2%</w:t>
            </w:r>
          </w:p>
        </w:tc>
      </w:tr>
      <w:tr>
        <w:trPr>
          <w:trHeight w:val="83" w:hRule="auto"/>
          <w:jc w:val="left"/>
        </w:trPr>
        <w:tc>
          <w:tcPr>
            <w:tcW w:w="3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Antimony compounds</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7440-36-0</w:t>
            </w:r>
          </w:p>
        </w:tc>
        <w:tc>
          <w:tcPr>
            <w:tcW w:w="2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&lt; 1%</w:t>
            </w:r>
          </w:p>
        </w:tc>
      </w:tr>
      <w:tr>
        <w:trPr>
          <w:trHeight w:val="83" w:hRule="auto"/>
          <w:jc w:val="left"/>
        </w:trPr>
        <w:tc>
          <w:tcPr>
            <w:tcW w:w="3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Nickel compounds</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7440-02-0</w:t>
            </w:r>
          </w:p>
        </w:tc>
        <w:tc>
          <w:tcPr>
            <w:tcW w:w="2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&lt; 1%</w:t>
            </w:r>
          </w:p>
        </w:tc>
      </w:tr>
      <w:tr>
        <w:trPr>
          <w:trHeight w:val="83" w:hRule="auto"/>
          <w:jc w:val="left"/>
        </w:trPr>
        <w:tc>
          <w:tcPr>
            <w:tcW w:w="3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Chromium compounds</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7440-47-3</w:t>
            </w:r>
          </w:p>
        </w:tc>
        <w:tc>
          <w:tcPr>
            <w:tcW w:w="2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&lt; 1%</w:t>
            </w:r>
          </w:p>
        </w:tc>
      </w:tr>
      <w:tr>
        <w:trPr>
          <w:trHeight w:val="83" w:hRule="auto"/>
          <w:jc w:val="left"/>
        </w:trPr>
        <w:tc>
          <w:tcPr>
            <w:tcW w:w="3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Carbon black</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1333-86-4</w:t>
            </w:r>
          </w:p>
        </w:tc>
        <w:tc>
          <w:tcPr>
            <w:tcW w:w="2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&lt; 1%</w:t>
            </w:r>
          </w:p>
        </w:tc>
      </w:tr>
      <w:tr>
        <w:trPr>
          <w:trHeight w:val="83" w:hRule="auto"/>
          <w:jc w:val="left"/>
        </w:trPr>
        <w:tc>
          <w:tcPr>
            <w:tcW w:w="3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Silica, amorphous</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112926-00-8</w:t>
            </w:r>
          </w:p>
        </w:tc>
        <w:tc>
          <w:tcPr>
            <w:tcW w:w="2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&lt; 1%</w:t>
            </w:r>
          </w:p>
        </w:tc>
      </w:tr>
      <w:tr>
        <w:trPr>
          <w:trHeight w:val="83" w:hRule="auto"/>
          <w:jc w:val="left"/>
        </w:trPr>
        <w:tc>
          <w:tcPr>
            <w:tcW w:w="39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Lead compounds</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7439-92-1</w:t>
            </w:r>
          </w:p>
        </w:tc>
        <w:tc>
          <w:tcPr>
            <w:tcW w:w="2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&lt; 1%</w:t>
            </w:r>
          </w:p>
        </w:tc>
      </w:tr>
    </w:tbl>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4.1 </w:t>
        <w:tab/>
      </w:r>
      <w:r>
        <w:rPr>
          <w:rFonts w:ascii="Helvetica" w:hAnsi="Helvetica" w:cs="Helvetica" w:eastAsia="Helvetica"/>
          <w:b/>
          <w:color w:val="auto"/>
          <w:spacing w:val="0"/>
          <w:position w:val="0"/>
          <w:sz w:val="22"/>
          <w:shd w:fill="auto" w:val="clear"/>
        </w:rPr>
        <w:t xml:space="preserve">General:</w:t>
      </w:r>
      <w:r>
        <w:rPr>
          <w:rFonts w:ascii="Helvetica" w:hAnsi="Helvetica" w:cs="Helvetica" w:eastAsia="Helvetica"/>
          <w:color w:val="auto"/>
          <w:spacing w:val="0"/>
          <w:position w:val="0"/>
          <w:sz w:val="22"/>
          <w:shd w:fill="auto" w:val="clear"/>
        </w:rPr>
        <w:tab/>
        <w:tab/>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When product is used as designed, first aid should not be needed. </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Dust and fumes can be released by sawing, grinding or machining of product and </w:t>
        <w:tab/>
        <w:tab/>
        <w:tab/>
        <w:t xml:space="preserve">should only be undertaken with adequate ventilation and personal protection.</w:t>
      </w:r>
    </w:p>
    <w:p>
      <w:pPr>
        <w:tabs>
          <w:tab w:val="left" w:pos="360" w:leader="none"/>
          <w:tab w:val="left" w:pos="1080" w:leader="none"/>
        </w:tabs>
        <w:spacing w:before="0" w:after="6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After Inhalation: </w:t>
        <w:tab/>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r>
      <w:r>
        <w:rPr>
          <w:rFonts w:ascii="Helvetica" w:hAnsi="Helvetica" w:cs="Helvetica" w:eastAsia="Helvetica"/>
          <w:color w:val="auto"/>
          <w:spacing w:val="0"/>
          <w:position w:val="0"/>
          <w:sz w:val="22"/>
          <w:shd w:fill="auto" w:val="clear"/>
        </w:rPr>
        <w:t xml:space="preserve">Not likely to be inhaled as designed.</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After Skin Contact:</w:t>
      </w:r>
      <w:r>
        <w:rPr>
          <w:rFonts w:ascii="Helvetica" w:hAnsi="Helvetica" w:cs="Helvetica" w:eastAsia="Helvetica"/>
          <w:color w:val="auto"/>
          <w:spacing w:val="0"/>
          <w:position w:val="0"/>
          <w:sz w:val="22"/>
          <w:shd w:fill="auto" w:val="clear"/>
        </w:rPr>
        <w:t xml:space="preserve">  </w:t>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In the event that irritation occurs, wash carefully using soap or a proprietary cleanser </w:t>
        <w:tab/>
        <w:tab/>
        <w:tab/>
        <w:t xml:space="preserve">and water for at least 15 minutes to remove irritant.</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After Eye Contact:</w:t>
      </w:r>
      <w:r>
        <w:rPr>
          <w:rFonts w:ascii="Helvetica" w:hAnsi="Helvetica" w:cs="Helvetica" w:eastAsia="Helvetica"/>
          <w:color w:val="auto"/>
          <w:spacing w:val="0"/>
          <w:position w:val="0"/>
          <w:sz w:val="22"/>
          <w:shd w:fill="auto" w:val="clear"/>
        </w:rPr>
        <w:t xml:space="preserve">  </w:t>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May irritate eyes if welding or grinding. </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Dust particles should be removed by flushing with clean water or saline for at least 15 </w:t>
        <w:tab/>
        <w:tab/>
        <w:t xml:space="preserve">minutes. Seek medical attention if irritation persists. </w:t>
      </w:r>
    </w:p>
    <w:p>
      <w:pPr>
        <w:tabs>
          <w:tab w:val="left" w:pos="360" w:leader="none"/>
          <w:tab w:val="left" w:pos="1080" w:leader="none"/>
        </w:tabs>
        <w:spacing w:before="0" w:after="6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4.2</w:t>
        <w:tab/>
      </w:r>
      <w:r>
        <w:rPr>
          <w:rFonts w:ascii="Helvetica" w:hAnsi="Helvetica" w:cs="Helvetica" w:eastAsia="Helvetica"/>
          <w:b/>
          <w:color w:val="auto"/>
          <w:spacing w:val="0"/>
          <w:position w:val="0"/>
          <w:sz w:val="22"/>
          <w:shd w:fill="auto" w:val="clear"/>
        </w:rPr>
        <w:t xml:space="preserve">Symptoms/Injuries:</w:t>
        <w:tab/>
      </w:r>
    </w:p>
    <w:p>
      <w:pPr>
        <w:tabs>
          <w:tab w:val="left" w:pos="360" w:leader="none"/>
          <w:tab w:val="left" w:pos="1080" w:leader="none"/>
        </w:tabs>
        <w:spacing w:before="0" w:after="6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ab/>
        <w:tab/>
      </w:r>
      <w:r>
        <w:rPr>
          <w:rFonts w:ascii="Helvetica" w:hAnsi="Helvetica" w:cs="Helvetica" w:eastAsia="Helvetica"/>
          <w:color w:val="auto"/>
          <w:spacing w:val="0"/>
          <w:position w:val="0"/>
          <w:sz w:val="22"/>
          <w:shd w:fill="auto" w:val="clear"/>
        </w:rPr>
        <w:t xml:space="preserve">Not applicable with normal usage. </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4.3</w:t>
        <w:tab/>
      </w:r>
      <w:r>
        <w:rPr>
          <w:rFonts w:ascii="Helvetica" w:hAnsi="Helvetica" w:cs="Helvetica" w:eastAsia="Helvetica"/>
          <w:b/>
          <w:color w:val="auto"/>
          <w:spacing w:val="0"/>
          <w:position w:val="0"/>
          <w:sz w:val="22"/>
          <w:shd w:fill="auto" w:val="clear"/>
        </w:rPr>
        <w:t xml:space="preserve">Indication of Any Immediate Medical Attention and Special Treatment Needed:</w:t>
        <w:tab/>
        <w:tab/>
        <w:tab/>
      </w:r>
      <w:r>
        <w:rPr>
          <w:rFonts w:ascii="Helvetica" w:hAnsi="Helvetica" w:cs="Helvetica" w:eastAsia="Helvetica"/>
          <w:color w:val="auto"/>
          <w:spacing w:val="0"/>
          <w:position w:val="0"/>
          <w:sz w:val="22"/>
          <w:shd w:fill="auto" w:val="clear"/>
        </w:rPr>
        <w:t xml:space="preserve">If exposed or concerned, get medical advice and attention. </w:t>
        <w:tab/>
        <w:tab/>
        <w:tab/>
        <w:tab/>
        <w:tab/>
        <w:tab/>
        <w:t xml:space="preserve">If medical advice is needed, have product container or label at hand.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8"/>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5.1</w:t>
        <w:tab/>
      </w:r>
      <w:r>
        <w:rPr>
          <w:rFonts w:ascii="Helvetica" w:hAnsi="Helvetica" w:cs="Helvetica" w:eastAsia="Helvetica"/>
          <w:b/>
          <w:color w:val="auto"/>
          <w:spacing w:val="0"/>
          <w:position w:val="0"/>
          <w:sz w:val="22"/>
          <w:shd w:fill="auto" w:val="clear"/>
        </w:rPr>
        <w:t xml:space="preserve">Suitable Extinguishing Media:</w:t>
      </w:r>
      <w:r>
        <w:rPr>
          <w:rFonts w:ascii="Helvetica" w:hAnsi="Helvetica" w:cs="Helvetica" w:eastAsia="Helvetica"/>
          <w:color w:val="auto"/>
          <w:spacing w:val="0"/>
          <w:position w:val="0"/>
          <w:sz w:val="22"/>
          <w:shd w:fill="auto" w:val="clear"/>
        </w:rPr>
        <w:t xml:space="preserve"> </w:t>
        <w:tab/>
        <w:tab/>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Use Class D extinguishing agents on dust, fines or molten metal. </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Use coarse water spray on chips and turnings. </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Un-Suitable Extinguishing Media:</w:t>
      </w:r>
      <w:r>
        <w:rPr>
          <w:rFonts w:ascii="Helvetica" w:hAnsi="Helvetica" w:cs="Helvetica" w:eastAsia="Helvetica"/>
          <w:color w:val="auto"/>
          <w:spacing w:val="0"/>
          <w:position w:val="0"/>
          <w:sz w:val="22"/>
          <w:shd w:fill="auto" w:val="clear"/>
        </w:rPr>
        <w:t xml:space="preserve"> </w:t>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DO NOT USE Halogenated agents on small chips, dusts or fines. Molten metal and </w:t>
        <w:tab/>
        <w:tab/>
        <w:tab/>
        <w:t xml:space="preserve">water can be an explosive combination.</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6"/>
          <w:shd w:fill="auto" w:val="clear"/>
        </w:rPr>
      </w:pP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5.2 </w:t>
        <w:tab/>
      </w:r>
      <w:r>
        <w:rPr>
          <w:rFonts w:ascii="Helvetica" w:hAnsi="Helvetica" w:cs="Helvetica" w:eastAsia="Helvetica"/>
          <w:b/>
          <w:color w:val="auto"/>
          <w:spacing w:val="0"/>
          <w:position w:val="0"/>
          <w:sz w:val="22"/>
          <w:shd w:fill="auto" w:val="clear"/>
        </w:rPr>
        <w:t xml:space="preserve">Fire Hazard:</w:t>
      </w:r>
      <w:r>
        <w:rPr>
          <w:rFonts w:ascii="Helvetica" w:hAnsi="Helvetica" w:cs="Helvetica" w:eastAsia="Helvetica"/>
          <w:color w:val="auto"/>
          <w:spacing w:val="0"/>
          <w:position w:val="0"/>
          <w:sz w:val="22"/>
          <w:shd w:fill="auto" w:val="clear"/>
        </w:rPr>
        <w:tab/>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This product does not present fire or explosion hazard as shipped. Small chips, </w:t>
        <w:tab/>
        <w:tab/>
        <w:tab/>
        <w:t xml:space="preserve">turnings, dust and fines from processing may be readily ignitable.</w:t>
      </w:r>
    </w:p>
    <w:p>
      <w:pPr>
        <w:tabs>
          <w:tab w:val="left" w:pos="360" w:leader="none"/>
          <w:tab w:val="left" w:pos="1080" w:leader="none"/>
        </w:tabs>
        <w:spacing w:before="0" w:after="60" w:line="240"/>
        <w:ind w:right="0" w:left="108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In fire situations beware of low visibility due to soot and avoid smoke inhalation. Smoke contains carbon monoxide and other gases which may be harmful to health if inhaled.</w:t>
        <w:tab/>
        <w:tab/>
      </w:r>
    </w:p>
    <w:p>
      <w:pPr>
        <w:tabs>
          <w:tab w:val="left" w:pos="360" w:leader="none"/>
          <w:tab w:val="left" w:pos="1080" w:leader="none"/>
        </w:tabs>
        <w:spacing w:before="0" w:after="60" w:line="240"/>
        <w:ind w:right="0" w:left="108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Explosion Hazard:</w:t>
      </w:r>
      <w:r>
        <w:rPr>
          <w:rFonts w:ascii="Helvetica" w:hAnsi="Helvetica" w:cs="Helvetica" w:eastAsia="Helvetica"/>
          <w:color w:val="auto"/>
          <w:spacing w:val="0"/>
          <w:position w:val="0"/>
          <w:sz w:val="22"/>
          <w:shd w:fill="auto" w:val="clear"/>
        </w:rPr>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Explosion hazard may be present when: </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 xml:space="preserve">Dust or fines are dispersed in the air. Even a minor dust cloud can explode </w:t>
        <w:tab/>
        <w:tab/>
        <w:tab/>
        <w:tab/>
        <w:t xml:space="preserve">violently. </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 xml:space="preserve">Chips, dust or fines in contact with water can generate flammable/explosive </w:t>
        <w:tab/>
        <w:tab/>
        <w:tab/>
        <w:tab/>
        <w:t xml:space="preserve">hydrogen gas. Hydrogen gas could present an explosion hazard in confined or </w:t>
        <w:tab/>
        <w:tab/>
        <w:tab/>
        <w:tab/>
        <w:t xml:space="preserve">poorly ventilated spaces.</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 xml:space="preserve">Dust or fines in contact with certain metal oxides (e.g. rust) can initiate a thermite </w:t>
        <w:tab/>
        <w:tab/>
        <w:tab/>
        <w:t xml:space="preserve">reaction.</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 xml:space="preserve">Molten metal is in contact with water/moisture can initiate a thermite reaction.</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Reactivity:</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Molten metal and water can be an explosive combination.</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6"/>
          <w:shd w:fill="auto" w:val="clear"/>
        </w:rPr>
      </w:pPr>
    </w:p>
    <w:p>
      <w:pPr>
        <w:tabs>
          <w:tab w:val="left" w:pos="360" w:leader="none"/>
          <w:tab w:val="left" w:pos="1080" w:leader="none"/>
        </w:tabs>
        <w:spacing w:before="0" w:after="6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5.3</w:t>
        <w:tab/>
      </w:r>
      <w:r>
        <w:rPr>
          <w:rFonts w:ascii="Helvetica" w:hAnsi="Helvetica" w:cs="Helvetica" w:eastAsia="Helvetica"/>
          <w:b/>
          <w:color w:val="auto"/>
          <w:spacing w:val="0"/>
          <w:position w:val="0"/>
          <w:sz w:val="22"/>
          <w:shd w:fill="auto" w:val="clear"/>
        </w:rPr>
        <w:t xml:space="preserve">Precautionary Measures:</w:t>
        <w:tab/>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r>
      <w:r>
        <w:rPr>
          <w:rFonts w:ascii="Helvetica" w:hAnsi="Helvetica" w:cs="Helvetica" w:eastAsia="Helvetica"/>
          <w:color w:val="auto"/>
          <w:spacing w:val="0"/>
          <w:position w:val="0"/>
          <w:sz w:val="22"/>
          <w:shd w:fill="auto" w:val="clear"/>
        </w:rPr>
        <w:t xml:space="preserve">Fire fighters should use self-contained breathing apparatus.</w:t>
      </w:r>
      <w:r>
        <w:rPr>
          <w:rFonts w:ascii="Helvetica" w:hAnsi="Helvetica" w:cs="Helvetica" w:eastAsia="Helvetica"/>
          <w:b/>
          <w:color w:val="auto"/>
          <w:spacing w:val="0"/>
          <w:position w:val="0"/>
          <w:sz w:val="22"/>
          <w:shd w:fill="auto" w:val="clear"/>
        </w:rPr>
        <w:tab/>
      </w:r>
    </w:p>
    <w:p>
      <w:pPr>
        <w:tabs>
          <w:tab w:val="left" w:pos="360" w:leader="none"/>
          <w:tab w:val="left" w:pos="1080" w:leader="none"/>
        </w:tabs>
        <w:spacing w:before="0" w:after="6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Firefighting Instructions:</w:t>
        <w:tab/>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r>
      <w:r>
        <w:rPr>
          <w:rFonts w:ascii="Helvetica" w:hAnsi="Helvetica" w:cs="Helvetica" w:eastAsia="Helvetica"/>
          <w:color w:val="auto"/>
          <w:spacing w:val="0"/>
          <w:position w:val="0"/>
          <w:sz w:val="22"/>
          <w:shd w:fill="auto" w:val="clear"/>
        </w:rPr>
        <w:t xml:space="preserve">Saturate burning foam with water from a spray nozzle.</w:t>
      </w:r>
    </w:p>
    <w:p>
      <w:pPr>
        <w:tabs>
          <w:tab w:val="left" w:pos="360" w:leader="none"/>
          <w:tab w:val="left" w:pos="1080" w:leader="none"/>
        </w:tabs>
        <w:spacing w:before="0" w:after="6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Protection During Firefighting:</w:t>
        <w:tab/>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r>
      <w:r>
        <w:rPr>
          <w:rFonts w:ascii="Helvetica" w:hAnsi="Helvetica" w:cs="Helvetica" w:eastAsia="Helvetica"/>
          <w:color w:val="auto"/>
          <w:spacing w:val="0"/>
          <w:position w:val="0"/>
          <w:sz w:val="22"/>
          <w:shd w:fill="auto" w:val="clear"/>
        </w:rPr>
        <w:t xml:space="preserve">Fire Fighters should wear NIOSH approved, positive pressure, self-contained </w:t>
        <w:tab/>
        <w:tab/>
        <w:tab/>
        <w:tab/>
        <w:t xml:space="preserve">breathing apparatus and full protective clothing when appropriate. </w:t>
      </w:r>
    </w:p>
    <w:p>
      <w:pPr>
        <w:tabs>
          <w:tab w:val="left" w:pos="360" w:leader="none"/>
          <w:tab w:val="left" w:pos="1080" w:leader="none"/>
        </w:tabs>
        <w:spacing w:before="0" w:after="6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ab/>
        <w:t xml:space="preserve">Hazardous Combustion Products:</w:t>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r>
      <w:r>
        <w:rPr>
          <w:rFonts w:ascii="Helvetica" w:hAnsi="Helvetica" w:cs="Helvetica" w:eastAsia="Helvetica"/>
          <w:color w:val="auto"/>
          <w:spacing w:val="0"/>
          <w:position w:val="0"/>
          <w:sz w:val="22"/>
          <w:shd w:fill="auto" w:val="clear"/>
        </w:rPr>
        <w:t xml:space="preserve">Molten metal and water can be an explosive combination. The risk is greatest when </w:t>
        <w:tab/>
        <w:tab/>
        <w:tab/>
        <w:t xml:space="preserve">there is sufficient molten metal to entrap or seal off the water. Water and other forms </w:t>
        <w:tab/>
        <w:tab/>
        <w:tab/>
        <w:t xml:space="preserve">of contamination on or contained in scrap or re-melt ingot are known to have caused </w:t>
        <w:tab/>
        <w:tab/>
        <w:tab/>
        <w:t xml:space="preserve">explosions in melting operations. </w:t>
      </w:r>
    </w:p>
    <w:p>
      <w:pPr>
        <w:tabs>
          <w:tab w:val="left" w:pos="360" w:leader="none"/>
          <w:tab w:val="left" w:pos="1080" w:leader="none"/>
        </w:tabs>
        <w:spacing w:before="0" w:after="6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Other Information:</w:t>
        <w:tab/>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r>
      <w:r>
        <w:rPr>
          <w:rFonts w:ascii="Helvetica" w:hAnsi="Helvetica" w:cs="Helvetica" w:eastAsia="Helvetica"/>
          <w:color w:val="auto"/>
          <w:spacing w:val="0"/>
          <w:position w:val="0"/>
          <w:sz w:val="22"/>
          <w:shd w:fill="auto" w:val="clear"/>
        </w:rPr>
        <w:t xml:space="preserve">None</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8"/>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8"/>
          <w:shd w:fill="auto" w:val="clear"/>
        </w:rPr>
      </w:pP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6.1</w:t>
        <w:tab/>
      </w:r>
      <w:r>
        <w:rPr>
          <w:rFonts w:ascii="Helvetica" w:hAnsi="Helvetica" w:cs="Helvetica" w:eastAsia="Helvetica"/>
          <w:b/>
          <w:color w:val="auto"/>
          <w:spacing w:val="0"/>
          <w:position w:val="0"/>
          <w:sz w:val="22"/>
          <w:shd w:fill="auto" w:val="clear"/>
        </w:rPr>
        <w:t xml:space="preserve">Personal Precautions, Protective Equipment and Emergency Procedures</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color w:val="auto"/>
          <w:spacing w:val="0"/>
          <w:position w:val="0"/>
          <w:sz w:val="22"/>
          <w:u w:val="single"/>
          <w:shd w:fill="auto" w:val="clear"/>
        </w:rPr>
        <w:t xml:space="preserve">This product does not present fire or explosion hazard as shipped.</w:t>
      </w:r>
      <w:r>
        <w:rPr>
          <w:rFonts w:ascii="Helvetica" w:hAnsi="Helvetica" w:cs="Helvetica" w:eastAsia="Helvetica"/>
          <w:color w:val="auto"/>
          <w:spacing w:val="0"/>
          <w:position w:val="0"/>
          <w:sz w:val="22"/>
          <w:shd w:fill="auto" w:val="clear"/>
        </w:rPr>
        <w:t xml:space="preserve"> </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Small chips, turnings, dust and fines from processing may be readily ignitable.</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6.1.1</w:t>
        <w:tab/>
      </w:r>
      <w:r>
        <w:rPr>
          <w:rFonts w:ascii="Helvetica" w:hAnsi="Helvetica" w:cs="Helvetica" w:eastAsia="Helvetica"/>
          <w:b/>
          <w:color w:val="auto"/>
          <w:spacing w:val="0"/>
          <w:position w:val="0"/>
          <w:sz w:val="22"/>
          <w:shd w:fill="auto" w:val="clear"/>
        </w:rPr>
        <w:t xml:space="preserve">For Non-Emergency Personnel</w:t>
      </w:r>
    </w:p>
    <w:p>
      <w:pPr>
        <w:tabs>
          <w:tab w:val="left" w:pos="360" w:leader="none"/>
          <w:tab w:val="left" w:pos="2160" w:leader="none"/>
        </w:tabs>
        <w:spacing w:before="0" w:after="60" w:line="240"/>
        <w:ind w:right="0" w:left="216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Molten metal and water can be an explosive combination. In fire situations beware of low visibility due to soot and avoid smoke inhalation. Smoke contains carbon monoxide and other gases which may be harmful to health if inhaled.</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6.1.2</w:t>
        <w:tab/>
      </w:r>
      <w:r>
        <w:rPr>
          <w:rFonts w:ascii="Helvetica" w:hAnsi="Helvetica" w:cs="Helvetica" w:eastAsia="Helvetica"/>
          <w:b/>
          <w:color w:val="auto"/>
          <w:spacing w:val="0"/>
          <w:position w:val="0"/>
          <w:sz w:val="22"/>
          <w:shd w:fill="auto" w:val="clear"/>
        </w:rPr>
        <w:t xml:space="preserve">For Emergency Personnel</w:t>
      </w:r>
    </w:p>
    <w:p>
      <w:pPr>
        <w:tabs>
          <w:tab w:val="left" w:pos="360" w:leader="none"/>
          <w:tab w:val="left" w:pos="2160" w:leader="none"/>
        </w:tabs>
        <w:spacing w:before="0" w:after="60" w:line="240"/>
        <w:ind w:right="0" w:left="216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Fire Fighters should wear NIOSH approved, positive pressure, self-contained breathing apparatus and full protective clothing when appropriate.</w:t>
      </w:r>
    </w:p>
    <w:p>
      <w:pPr>
        <w:tabs>
          <w:tab w:val="left" w:pos="360" w:leader="none"/>
          <w:tab w:val="left" w:pos="1080" w:leader="none"/>
        </w:tabs>
        <w:spacing w:before="0" w:after="6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6.2</w:t>
        <w:tab/>
      </w:r>
      <w:r>
        <w:rPr>
          <w:rFonts w:ascii="Helvetica" w:hAnsi="Helvetica" w:cs="Helvetica" w:eastAsia="Helvetica"/>
          <w:b/>
          <w:color w:val="auto"/>
          <w:spacing w:val="0"/>
          <w:position w:val="0"/>
          <w:sz w:val="22"/>
          <w:shd w:fill="auto" w:val="clear"/>
        </w:rPr>
        <w:t xml:space="preserve">Environmental Precautions</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Molten metal and water can be an explosive combination. The risk is greatest when </w:t>
        <w:tab/>
        <w:tab/>
        <w:tab/>
        <w:t xml:space="preserve">there is sufficient molten metal to entrap or seal off the water. Water and other forms </w:t>
        <w:tab/>
        <w:tab/>
        <w:tab/>
        <w:t xml:space="preserve">of contamination on or contained in scrap or re-melt ingot are known to have caused </w:t>
        <w:tab/>
        <w:tab/>
        <w:tab/>
        <w:t xml:space="preserve">explosions in melting operations. </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6.3</w:t>
        <w:tab/>
      </w:r>
      <w:r>
        <w:rPr>
          <w:rFonts w:ascii="Helvetica" w:hAnsi="Helvetica" w:cs="Helvetica" w:eastAsia="Helvetica"/>
          <w:b/>
          <w:color w:val="auto"/>
          <w:spacing w:val="0"/>
          <w:position w:val="0"/>
          <w:sz w:val="22"/>
          <w:shd w:fill="auto" w:val="clear"/>
        </w:rPr>
        <w:t xml:space="preserve">Methods and Materials for Containment and Cleaning Up</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Collect scrap for recycling. </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If molten:  Contain the flow using dry sand or salt flux as a dam. Do not use shovels </w:t>
        <w:tab/>
        <w:tab/>
        <w:tab/>
        <w:t xml:space="preserve">or hand tools to halt the flow of molten aluminum. Allow the spill to cool before re-</w:t>
        <w:tab/>
        <w:tab/>
        <w:tab/>
        <w:t xml:space="preserve">melting as scrap. Molten metal and water can be an explosive combination. The risk </w:t>
        <w:tab/>
        <w:tab/>
        <w:tab/>
        <w:t xml:space="preserve">is greatest when there is sufficient molten metal to entrap or seal off the water.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8"/>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7.1</w:t>
        <w:tab/>
      </w:r>
      <w:r>
        <w:rPr>
          <w:rFonts w:ascii="Helvetica" w:hAnsi="Helvetica" w:cs="Helvetica" w:eastAsia="Helvetica"/>
          <w:b/>
          <w:color w:val="auto"/>
          <w:spacing w:val="0"/>
          <w:position w:val="0"/>
          <w:sz w:val="22"/>
          <w:shd w:fill="auto" w:val="clear"/>
        </w:rPr>
        <w:t xml:space="preserve">Handling:</w:t>
      </w:r>
      <w:r>
        <w:rPr>
          <w:rFonts w:ascii="Helvetica" w:hAnsi="Helvetica" w:cs="Helvetica" w:eastAsia="Helvetica"/>
          <w:color w:val="auto"/>
          <w:spacing w:val="0"/>
          <w:position w:val="0"/>
          <w:sz w:val="22"/>
          <w:shd w:fill="auto" w:val="clear"/>
        </w:rPr>
        <w:t xml:space="preserve">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Avoid generating dust. Do not allow chips, fines or dust to contact water, particularly </w:t>
        <w:tab/>
        <w:tab/>
        <w:tab/>
        <w:t xml:space="preserve">in enclosed areas.</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Avoid contact with sharp edges or heated metal.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8"/>
          <w:shd w:fill="auto" w:val="clear"/>
        </w:rPr>
      </w:pPr>
      <w:r>
        <w:rPr>
          <w:rFonts w:ascii="Helvetica" w:hAnsi="Helvetica" w:cs="Helvetica" w:eastAsia="Helvetica"/>
          <w:color w:val="auto"/>
          <w:spacing w:val="0"/>
          <w:position w:val="0"/>
          <w:sz w:val="22"/>
          <w:shd w:fill="auto" w:val="clear"/>
        </w:rPr>
        <w:tab/>
        <w:tab/>
        <w:t xml:space="preserve">Hot and cold aluminum are not visually different.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7.2</w:t>
        <w:tab/>
      </w:r>
      <w:r>
        <w:rPr>
          <w:rFonts w:ascii="Helvetica" w:hAnsi="Helvetica" w:cs="Helvetica" w:eastAsia="Helvetica"/>
          <w:b/>
          <w:color w:val="auto"/>
          <w:spacing w:val="0"/>
          <w:position w:val="0"/>
          <w:sz w:val="22"/>
          <w:shd w:fill="auto" w:val="clear"/>
        </w:rPr>
        <w:t xml:space="preserve">Storage:</w:t>
      </w:r>
      <w:r>
        <w:rPr>
          <w:rFonts w:ascii="Helvetica" w:hAnsi="Helvetica" w:cs="Helvetica" w:eastAsia="Helvetica"/>
          <w:color w:val="auto"/>
          <w:spacing w:val="0"/>
          <w:position w:val="0"/>
          <w:sz w:val="22"/>
          <w:shd w:fill="auto" w:val="clear"/>
        </w:rPr>
        <w:tab/>
      </w:r>
    </w:p>
    <w:p>
      <w:pPr>
        <w:tabs>
          <w:tab w:val="left" w:pos="360" w:leader="none"/>
          <w:tab w:val="left" w:pos="1080" w:leader="none"/>
        </w:tabs>
        <w:spacing w:before="0" w:after="0" w:line="240"/>
        <w:ind w:right="0" w:left="108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Deliver materials and components in manufacturer’s unopened containers or bundles, fully identified by name, brand, type and grade.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Prevent damage during unloading, storing and installation.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Store, protect, and handle materials and components to prevent twisting, bending, </w:t>
        <w:tab/>
        <w:tab/>
        <w:tab/>
        <w:t xml:space="preserve">mechanical damage, contamination and deterioration.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8"/>
          <w:shd w:fill="auto" w:val="clear"/>
        </w:rPr>
      </w:pPr>
      <w:r>
        <w:rPr>
          <w:rFonts w:ascii="Helvetica" w:hAnsi="Helvetica" w:cs="Helvetica" w:eastAsia="Helvetica"/>
          <w:color w:val="auto"/>
          <w:spacing w:val="0"/>
          <w:position w:val="0"/>
          <w:sz w:val="22"/>
          <w:shd w:fill="auto" w:val="clear"/>
        </w:rPr>
        <w:tab/>
        <w:tab/>
        <w:t xml:space="preserve">Store materials off ground and keep clean, dry, and free of dirt and other foreign </w:t>
        <w:tab/>
        <w:tab/>
        <w:tab/>
        <w:t xml:space="preserve">matter.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7.3</w:t>
        <w:tab/>
      </w:r>
      <w:r>
        <w:rPr>
          <w:rFonts w:ascii="Helvetica" w:hAnsi="Helvetica" w:cs="Helvetica" w:eastAsia="Helvetica"/>
          <w:b/>
          <w:color w:val="auto"/>
          <w:spacing w:val="0"/>
          <w:position w:val="0"/>
          <w:sz w:val="22"/>
          <w:shd w:fill="auto" w:val="clear"/>
        </w:rPr>
        <w:t xml:space="preserve">Use:</w:t>
      </w:r>
      <w:r>
        <w:rPr>
          <w:rFonts w:ascii="Helvetica" w:hAnsi="Helvetica" w:cs="Helvetica" w:eastAsia="Helvetica"/>
          <w:color w:val="auto"/>
          <w:spacing w:val="0"/>
          <w:position w:val="0"/>
          <w:sz w:val="22"/>
          <w:shd w:fill="auto" w:val="clear"/>
        </w:rPr>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Aluminum cladding must be separated from direct contact with dissimilar metals.</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8.1</w:t>
        <w:tab/>
        <w:t xml:space="preserve">For substances listed in Section 3 that are not listed here, there are no established </w:t>
        <w:tab/>
        <w:tab/>
        <w:tab/>
        <w:t xml:space="preserve">exposure limits from the manufacturer, supplier, importer, or the appropriate advisory </w:t>
        <w:tab/>
        <w:tab/>
        <w:t xml:space="preserve">agency including: ACGIH (TLV), AIHA (WEEL), NIOSH (REL), or OSHA (PEL).</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tbl>
      <w:tblPr/>
      <w:tblGrid>
        <w:gridCol w:w="2381"/>
        <w:gridCol w:w="1214"/>
        <w:gridCol w:w="1980"/>
        <w:gridCol w:w="1980"/>
        <w:gridCol w:w="1795"/>
      </w:tblGrid>
      <w:tr>
        <w:trPr>
          <w:trHeight w:val="1" w:hRule="atLeast"/>
          <w:jc w:val="left"/>
        </w:trPr>
        <w:tc>
          <w:tcPr>
            <w:tcW w:w="2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both"/>
              <w:rPr>
                <w:color w:val="auto"/>
                <w:spacing w:val="0"/>
                <w:position w:val="0"/>
                <w:shd w:fill="auto" w:val="clear"/>
              </w:rPr>
            </w:pPr>
            <w:r>
              <w:rPr>
                <w:rFonts w:ascii="Helvetica" w:hAnsi="Helvetica" w:cs="Helvetica" w:eastAsia="Helvetica"/>
                <w:b/>
                <w:color w:val="auto"/>
                <w:spacing w:val="0"/>
                <w:position w:val="0"/>
                <w:sz w:val="21"/>
                <w:shd w:fill="auto" w:val="clear"/>
              </w:rPr>
              <w:t xml:space="preserve">Substance</w:t>
            </w:r>
          </w:p>
        </w:tc>
        <w:tc>
          <w:tcPr>
            <w:tcW w:w="319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Regulatory Limits</w:t>
            </w:r>
          </w:p>
        </w:tc>
        <w:tc>
          <w:tcPr>
            <w:tcW w:w="377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Recommended Limits</w:t>
            </w:r>
          </w:p>
        </w:tc>
      </w:tr>
      <w:tr>
        <w:trPr>
          <w:trHeight w:val="1" w:hRule="atLeast"/>
          <w:jc w:val="left"/>
        </w:trPr>
        <w:tc>
          <w:tcPr>
            <w:tcW w:w="2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2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OSHA PEL</w:t>
            </w:r>
          </w:p>
        </w:tc>
        <w:tc>
          <w:tcPr>
            <w:tcW w:w="1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Cal/OSHA PEL</w:t>
            </w:r>
          </w:p>
        </w:tc>
        <w:tc>
          <w:tcPr>
            <w:tcW w:w="1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NIOSH REL</w:t>
            </w:r>
          </w:p>
        </w:tc>
        <w:tc>
          <w:tcPr>
            <w:tcW w:w="17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ACGIH 2019 TLV</w:t>
            </w:r>
          </w:p>
        </w:tc>
      </w:tr>
      <w:tr>
        <w:trPr>
          <w:trHeight w:val="1" w:hRule="atLeast"/>
          <w:jc w:val="left"/>
        </w:trPr>
        <w:tc>
          <w:tcPr>
            <w:tcW w:w="2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2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mg/m</w:t>
            </w:r>
            <w:r>
              <w:rPr>
                <w:rFonts w:ascii="Helvetica" w:hAnsi="Helvetica" w:cs="Helvetica" w:eastAsia="Helvetica"/>
                <w:b/>
                <w:color w:val="auto"/>
                <w:spacing w:val="0"/>
                <w:position w:val="0"/>
                <w:sz w:val="22"/>
                <w:shd w:fill="auto" w:val="clear"/>
                <w:vertAlign w:val="superscript"/>
              </w:rPr>
              <w:t xml:space="preserve">3</w:t>
            </w:r>
          </w:p>
        </w:tc>
        <w:tc>
          <w:tcPr>
            <w:tcW w:w="1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b/>
                <w:color w:val="auto"/>
                <w:spacing w:val="0"/>
                <w:position w:val="0"/>
                <w:sz w:val="18"/>
                <w:shd w:fill="auto" w:val="clear"/>
              </w:rPr>
              <w:t xml:space="preserve">8-hour TWS STEL Ceiling</w:t>
            </w:r>
          </w:p>
        </w:tc>
        <w:tc>
          <w:tcPr>
            <w:tcW w:w="1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b/>
                <w:color w:val="auto"/>
                <w:spacing w:val="0"/>
                <w:position w:val="0"/>
                <w:sz w:val="16"/>
                <w:shd w:fill="auto" w:val="clear"/>
              </w:rPr>
              <w:t xml:space="preserve">Up to 10-hour TWA STEL Ceiling</w:t>
            </w:r>
          </w:p>
        </w:tc>
        <w:tc>
          <w:tcPr>
            <w:tcW w:w="17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b/>
                <w:color w:val="auto"/>
                <w:spacing w:val="0"/>
                <w:position w:val="0"/>
                <w:sz w:val="18"/>
                <w:shd w:fill="auto" w:val="clear"/>
              </w:rPr>
              <w:t xml:space="preserve">8-hour TWA STEL Ceiling</w:t>
            </w:r>
          </w:p>
        </w:tc>
      </w:tr>
      <w:tr>
        <w:trPr>
          <w:trHeight w:val="1" w:hRule="atLeast"/>
          <w:jc w:val="left"/>
        </w:trPr>
        <w:tc>
          <w:tcPr>
            <w:tcW w:w="2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Aluminum Metal (as Al):</w:t>
            </w:r>
          </w:p>
        </w:tc>
        <w:tc>
          <w:tcPr>
            <w:tcW w:w="12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7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right"/>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Total dust</w:t>
            </w:r>
          </w:p>
        </w:tc>
        <w:tc>
          <w:tcPr>
            <w:tcW w:w="12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15</w:t>
            </w:r>
          </w:p>
        </w:tc>
        <w:tc>
          <w:tcPr>
            <w:tcW w:w="1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10 mg/m</w:t>
            </w:r>
            <w:r>
              <w:rPr>
                <w:rFonts w:ascii="Helvetica" w:hAnsi="Helvetica" w:cs="Helvetica" w:eastAsia="Helvetica"/>
                <w:color w:val="auto"/>
                <w:spacing w:val="0"/>
                <w:position w:val="0"/>
                <w:sz w:val="22"/>
                <w:shd w:fill="auto" w:val="clear"/>
                <w:vertAlign w:val="superscript"/>
              </w:rPr>
              <w:t xml:space="preserve">3</w:t>
            </w:r>
          </w:p>
        </w:tc>
        <w:tc>
          <w:tcPr>
            <w:tcW w:w="1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10 mg/m</w:t>
            </w:r>
            <w:r>
              <w:rPr>
                <w:rFonts w:ascii="Helvetica" w:hAnsi="Helvetica" w:cs="Helvetica" w:eastAsia="Helvetica"/>
                <w:color w:val="auto"/>
                <w:spacing w:val="0"/>
                <w:position w:val="0"/>
                <w:sz w:val="22"/>
                <w:shd w:fill="auto" w:val="clear"/>
                <w:vertAlign w:val="superscript"/>
              </w:rPr>
              <w:t xml:space="preserve">3</w:t>
            </w:r>
          </w:p>
        </w:tc>
        <w:tc>
          <w:tcPr>
            <w:tcW w:w="17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right"/>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Respirable fraction</w:t>
            </w:r>
          </w:p>
        </w:tc>
        <w:tc>
          <w:tcPr>
            <w:tcW w:w="12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5</w:t>
            </w:r>
          </w:p>
        </w:tc>
        <w:tc>
          <w:tcPr>
            <w:tcW w:w="1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5 mg/m</w:t>
            </w:r>
            <w:r>
              <w:rPr>
                <w:rFonts w:ascii="Helvetica" w:hAnsi="Helvetica" w:cs="Helvetica" w:eastAsia="Helvetica"/>
                <w:color w:val="auto"/>
                <w:spacing w:val="0"/>
                <w:position w:val="0"/>
                <w:sz w:val="22"/>
                <w:shd w:fill="auto" w:val="clear"/>
                <w:vertAlign w:val="superscript"/>
              </w:rPr>
              <w:t xml:space="preserve">3</w:t>
            </w:r>
          </w:p>
        </w:tc>
        <w:tc>
          <w:tcPr>
            <w:tcW w:w="1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5 mg/m</w:t>
            </w:r>
            <w:r>
              <w:rPr>
                <w:rFonts w:ascii="Helvetica" w:hAnsi="Helvetica" w:cs="Helvetica" w:eastAsia="Helvetica"/>
                <w:color w:val="auto"/>
                <w:spacing w:val="0"/>
                <w:position w:val="0"/>
                <w:sz w:val="22"/>
                <w:shd w:fill="auto" w:val="clear"/>
                <w:vertAlign w:val="superscript"/>
              </w:rPr>
              <w:t xml:space="preserve">3</w:t>
            </w:r>
          </w:p>
        </w:tc>
        <w:tc>
          <w:tcPr>
            <w:tcW w:w="17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1 mg/m</w:t>
            </w:r>
            <w:r>
              <w:rPr>
                <w:rFonts w:ascii="Helvetica" w:hAnsi="Helvetica" w:cs="Helvetica" w:eastAsia="Helvetica"/>
                <w:color w:val="auto"/>
                <w:spacing w:val="0"/>
                <w:position w:val="0"/>
                <w:sz w:val="22"/>
                <w:shd w:fill="auto" w:val="clear"/>
                <w:vertAlign w:val="superscript"/>
              </w:rPr>
              <w:t xml:space="preserve">3</w:t>
            </w:r>
          </w:p>
        </w:tc>
      </w:tr>
      <w:tr>
        <w:trPr>
          <w:trHeight w:val="1" w:hRule="atLeast"/>
          <w:jc w:val="left"/>
        </w:trPr>
        <w:tc>
          <w:tcPr>
            <w:tcW w:w="2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hd w:fill="auto" w:val="clear"/>
              </w:rPr>
            </w:pPr>
            <w:r>
              <w:rPr>
                <w:rFonts w:ascii="Helvetica" w:hAnsi="Helvetica" w:cs="Helvetica" w:eastAsia="Helvetica"/>
                <w:color w:val="auto"/>
                <w:spacing w:val="0"/>
                <w:position w:val="0"/>
                <w:sz w:val="21"/>
                <w:shd w:fill="auto" w:val="clear"/>
              </w:rPr>
              <w:t xml:space="preserve">Antimony and compounds (as Sb)</w:t>
            </w:r>
          </w:p>
        </w:tc>
        <w:tc>
          <w:tcPr>
            <w:tcW w:w="12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0.5</w:t>
            </w:r>
          </w:p>
        </w:tc>
        <w:tc>
          <w:tcPr>
            <w:tcW w:w="1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0.5 mg/m</w:t>
            </w:r>
            <w:r>
              <w:rPr>
                <w:rFonts w:ascii="Helvetica" w:hAnsi="Helvetica" w:cs="Helvetica" w:eastAsia="Helvetica"/>
                <w:color w:val="auto"/>
                <w:spacing w:val="0"/>
                <w:position w:val="0"/>
                <w:sz w:val="22"/>
                <w:shd w:fill="auto" w:val="clear"/>
                <w:vertAlign w:val="superscript"/>
              </w:rPr>
              <w:t xml:space="preserve">3</w:t>
            </w:r>
          </w:p>
        </w:tc>
        <w:tc>
          <w:tcPr>
            <w:tcW w:w="1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0.5 mg/m</w:t>
            </w:r>
            <w:r>
              <w:rPr>
                <w:rFonts w:ascii="Helvetica" w:hAnsi="Helvetica" w:cs="Helvetica" w:eastAsia="Helvetica"/>
                <w:color w:val="auto"/>
                <w:spacing w:val="0"/>
                <w:position w:val="0"/>
                <w:sz w:val="22"/>
                <w:shd w:fill="auto" w:val="clear"/>
                <w:vertAlign w:val="superscript"/>
              </w:rPr>
              <w:t xml:space="preserve">3</w:t>
            </w:r>
          </w:p>
        </w:tc>
        <w:tc>
          <w:tcPr>
            <w:tcW w:w="17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0.5 mg/m</w:t>
            </w:r>
            <w:r>
              <w:rPr>
                <w:rFonts w:ascii="Helvetica" w:hAnsi="Helvetica" w:cs="Helvetica" w:eastAsia="Helvetica"/>
                <w:color w:val="auto"/>
                <w:spacing w:val="0"/>
                <w:position w:val="0"/>
                <w:sz w:val="22"/>
                <w:shd w:fill="auto" w:val="clear"/>
                <w:vertAlign w:val="superscript"/>
              </w:rPr>
              <w:t xml:space="preserve">3</w:t>
            </w:r>
          </w:p>
        </w:tc>
      </w:tr>
      <w:tr>
        <w:trPr>
          <w:trHeight w:val="1" w:hRule="atLeast"/>
          <w:jc w:val="left"/>
        </w:trPr>
        <w:tc>
          <w:tcPr>
            <w:tcW w:w="2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hd w:fill="auto" w:val="clear"/>
              </w:rPr>
            </w:pPr>
            <w:r>
              <w:rPr>
                <w:rFonts w:ascii="Helvetica" w:hAnsi="Helvetica" w:cs="Helvetica" w:eastAsia="Helvetica"/>
                <w:color w:val="auto"/>
                <w:spacing w:val="0"/>
                <w:position w:val="0"/>
                <w:sz w:val="21"/>
                <w:shd w:fill="auto" w:val="clear"/>
              </w:rPr>
              <w:t xml:space="preserve">Carbon black</w:t>
            </w:r>
          </w:p>
        </w:tc>
        <w:tc>
          <w:tcPr>
            <w:tcW w:w="12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3.5</w:t>
            </w:r>
          </w:p>
        </w:tc>
        <w:tc>
          <w:tcPr>
            <w:tcW w:w="1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3.5 mg/m</w:t>
            </w:r>
            <w:r>
              <w:rPr>
                <w:rFonts w:ascii="Helvetica" w:hAnsi="Helvetica" w:cs="Helvetica" w:eastAsia="Helvetica"/>
                <w:color w:val="auto"/>
                <w:spacing w:val="0"/>
                <w:position w:val="0"/>
                <w:sz w:val="22"/>
                <w:shd w:fill="auto" w:val="clear"/>
                <w:vertAlign w:val="superscript"/>
              </w:rPr>
              <w:t xml:space="preserve">3</w:t>
            </w:r>
          </w:p>
        </w:tc>
        <w:tc>
          <w:tcPr>
            <w:tcW w:w="1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2"/>
                <w:shd w:fill="auto" w:val="clear"/>
              </w:rPr>
              <w:t xml:space="preserve">3.5 mg/m</w:t>
            </w:r>
            <w:r>
              <w:rPr>
                <w:rFonts w:ascii="Helvetica" w:hAnsi="Helvetica" w:cs="Helvetica" w:eastAsia="Helvetica"/>
                <w:color w:val="auto"/>
                <w:spacing w:val="0"/>
                <w:position w:val="0"/>
                <w:sz w:val="22"/>
                <w:shd w:fill="auto" w:val="clear"/>
                <w:vertAlign w:val="superscript"/>
              </w:rPr>
              <w:t xml:space="preserve">3</w:t>
            </w:r>
            <w:r>
              <w:rPr>
                <w:rFonts w:ascii="Helvetica" w:hAnsi="Helvetica" w:cs="Helvetica" w:eastAsia="Helvetica"/>
                <w:color w:val="auto"/>
                <w:spacing w:val="0"/>
                <w:position w:val="0"/>
                <w:sz w:val="22"/>
                <w:shd w:fill="auto" w:val="clear"/>
              </w:rPr>
              <w:t xml:space="preserve"> </w:t>
            </w:r>
            <w:r>
              <w:rPr>
                <w:rFonts w:ascii="Helvetica" w:hAnsi="Helvetica" w:cs="Helvetica" w:eastAsia="Helvetica"/>
                <w:color w:val="auto"/>
                <w:spacing w:val="0"/>
                <w:position w:val="0"/>
                <w:sz w:val="16"/>
                <w:shd w:fill="auto" w:val="clear"/>
              </w:rPr>
              <w:t xml:space="preserve">(without PAHs); when PAHs are present, NIOSH considers carbon black to be a potential occupational carcinogen.</w:t>
            </w:r>
          </w:p>
        </w:tc>
        <w:tc>
          <w:tcPr>
            <w:tcW w:w="17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2"/>
                <w:shd w:fill="auto" w:val="clear"/>
              </w:rPr>
              <w:t xml:space="preserve">3.5 mg/m</w:t>
            </w:r>
            <w:r>
              <w:rPr>
                <w:rFonts w:ascii="Helvetica" w:hAnsi="Helvetica" w:cs="Helvetica" w:eastAsia="Helvetica"/>
                <w:color w:val="auto"/>
                <w:spacing w:val="0"/>
                <w:position w:val="0"/>
                <w:sz w:val="22"/>
                <w:shd w:fill="auto" w:val="clear"/>
                <w:vertAlign w:val="superscript"/>
              </w:rPr>
              <w:t xml:space="preserve">3</w:t>
            </w:r>
            <w:r>
              <w:rPr>
                <w:rFonts w:ascii="Helvetica" w:hAnsi="Helvetica" w:cs="Helvetica" w:eastAsia="Helvetica"/>
                <w:color w:val="auto"/>
                <w:spacing w:val="0"/>
                <w:position w:val="0"/>
                <w:sz w:val="22"/>
                <w:shd w:fill="auto" w:val="clear"/>
              </w:rPr>
              <w:t xml:space="preserve"> </w:t>
            </w:r>
            <w:r>
              <w:rPr>
                <w:rFonts w:ascii="Helvetica" w:hAnsi="Helvetica" w:cs="Helvetica" w:eastAsia="Helvetica"/>
                <w:color w:val="auto"/>
                <w:spacing w:val="0"/>
                <w:position w:val="0"/>
                <w:sz w:val="16"/>
                <w:shd w:fill="auto" w:val="clear"/>
              </w:rPr>
              <w:t xml:space="preserve">(IHL)</w:t>
            </w:r>
          </w:p>
        </w:tc>
      </w:tr>
      <w:tr>
        <w:trPr>
          <w:trHeight w:val="1" w:hRule="atLeast"/>
          <w:jc w:val="left"/>
        </w:trPr>
        <w:tc>
          <w:tcPr>
            <w:tcW w:w="2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hd w:fill="auto" w:val="clear"/>
              </w:rPr>
            </w:pPr>
            <w:r>
              <w:rPr>
                <w:rFonts w:ascii="Helvetica" w:hAnsi="Helvetica" w:cs="Helvetica" w:eastAsia="Helvetica"/>
                <w:color w:val="auto"/>
                <w:spacing w:val="0"/>
                <w:position w:val="0"/>
                <w:sz w:val="21"/>
                <w:shd w:fill="auto" w:val="clear"/>
              </w:rPr>
              <w:t xml:space="preserve">Chromium compounds</w:t>
            </w:r>
          </w:p>
        </w:tc>
        <w:tc>
          <w:tcPr>
            <w:tcW w:w="12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0.0025</w:t>
            </w:r>
          </w:p>
        </w:tc>
        <w:tc>
          <w:tcPr>
            <w:tcW w:w="1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2"/>
                <w:shd w:fill="auto" w:val="clear"/>
              </w:rPr>
              <w:t xml:space="preserve">0.0025 mg/m</w:t>
            </w:r>
            <w:r>
              <w:rPr>
                <w:rFonts w:ascii="Helvetica" w:hAnsi="Helvetica" w:cs="Helvetica" w:eastAsia="Helvetica"/>
                <w:color w:val="auto"/>
                <w:spacing w:val="0"/>
                <w:position w:val="0"/>
                <w:sz w:val="22"/>
                <w:shd w:fill="auto" w:val="clear"/>
                <w:vertAlign w:val="superscript"/>
              </w:rPr>
              <w:t xml:space="preserve">3.            </w:t>
            </w:r>
            <w:r>
              <w:rPr>
                <w:rFonts w:ascii="Helvetica" w:hAnsi="Helvetica" w:cs="Helvetica" w:eastAsia="Helvetica"/>
                <w:color w:val="auto"/>
                <w:spacing w:val="0"/>
                <w:position w:val="0"/>
                <w:sz w:val="16"/>
                <w:shd w:fill="auto" w:val="clear"/>
              </w:rPr>
              <w:t xml:space="preserve">(as Cr VI, inorganic compounds &amp; certain water insoluble)</w:t>
            </w:r>
          </w:p>
        </w:tc>
        <w:tc>
          <w:tcPr>
            <w:tcW w:w="1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2"/>
                <w:shd w:fill="auto" w:val="clear"/>
              </w:rPr>
              <w:t xml:space="preserve">0.001 mg/m</w:t>
            </w:r>
            <w:r>
              <w:rPr>
                <w:rFonts w:ascii="Helvetica" w:hAnsi="Helvetica" w:cs="Helvetica" w:eastAsia="Helvetica"/>
                <w:color w:val="auto"/>
                <w:spacing w:val="0"/>
                <w:position w:val="0"/>
                <w:sz w:val="22"/>
                <w:shd w:fill="auto" w:val="clear"/>
                <w:vertAlign w:val="superscript"/>
              </w:rPr>
              <w:t xml:space="preserve">3         </w:t>
            </w:r>
            <w:r>
              <w:rPr>
                <w:rFonts w:ascii="Helvetica" w:hAnsi="Helvetica" w:cs="Helvetica" w:eastAsia="Helvetica"/>
                <w:color w:val="auto"/>
                <w:spacing w:val="0"/>
                <w:position w:val="0"/>
                <w:sz w:val="16"/>
                <w:shd w:fill="auto" w:val="clear"/>
              </w:rPr>
              <w:t xml:space="preserve">(as Cr VI, inorganic compounds &amp; certain water insoluble)</w:t>
            </w:r>
          </w:p>
        </w:tc>
        <w:tc>
          <w:tcPr>
            <w:tcW w:w="17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0.0001 mg/m</w:t>
            </w:r>
            <w:r>
              <w:rPr>
                <w:rFonts w:ascii="Helvetica" w:hAnsi="Helvetica" w:cs="Helvetica" w:eastAsia="Helvetica"/>
                <w:color w:val="auto"/>
                <w:spacing w:val="0"/>
                <w:position w:val="0"/>
                <w:sz w:val="21"/>
                <w:shd w:fill="auto" w:val="clear"/>
                <w:vertAlign w:val="superscript"/>
              </w:rPr>
              <w:t xml:space="preserve">3</w:t>
            </w:r>
            <w:r>
              <w:rPr>
                <w:rFonts w:ascii="Helvetica" w:hAnsi="Helvetica" w:cs="Helvetica" w:eastAsia="Helvetica"/>
                <w:color w:val="auto"/>
                <w:spacing w:val="0"/>
                <w:position w:val="0"/>
                <w:sz w:val="21"/>
                <w:shd w:fill="auto" w:val="clear"/>
              </w:rPr>
              <w:t xml:space="preserve"> </w:t>
            </w:r>
            <w:r>
              <w:rPr>
                <w:rFonts w:ascii="Helvetica" w:hAnsi="Helvetica" w:cs="Helvetica" w:eastAsia="Helvetica"/>
                <w:color w:val="auto"/>
                <w:spacing w:val="0"/>
                <w:position w:val="0"/>
                <w:sz w:val="16"/>
                <w:shd w:fill="auto" w:val="clear"/>
              </w:rPr>
              <w:t xml:space="preserve">(as Cr VI, inorganic compounds &amp; certain water insoluble)</w:t>
            </w:r>
          </w:p>
        </w:tc>
      </w:tr>
      <w:tr>
        <w:trPr>
          <w:trHeight w:val="1" w:hRule="atLeast"/>
          <w:jc w:val="left"/>
        </w:trPr>
        <w:tc>
          <w:tcPr>
            <w:tcW w:w="2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hd w:fill="auto" w:val="clear"/>
              </w:rPr>
            </w:pPr>
            <w:r>
              <w:rPr>
                <w:rFonts w:ascii="Helvetica" w:hAnsi="Helvetica" w:cs="Helvetica" w:eastAsia="Helvetica"/>
                <w:color w:val="auto"/>
                <w:spacing w:val="0"/>
                <w:position w:val="0"/>
                <w:sz w:val="21"/>
                <w:shd w:fill="auto" w:val="clear"/>
              </w:rPr>
              <w:t xml:space="preserve">Cobalt metal, dust, and fume (as Co)</w:t>
            </w:r>
          </w:p>
        </w:tc>
        <w:tc>
          <w:tcPr>
            <w:tcW w:w="12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0.1</w:t>
            </w:r>
          </w:p>
        </w:tc>
        <w:tc>
          <w:tcPr>
            <w:tcW w:w="1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0.02 mg/m</w:t>
            </w:r>
            <w:r>
              <w:rPr>
                <w:rFonts w:ascii="Helvetica" w:hAnsi="Helvetica" w:cs="Helvetica" w:eastAsia="Helvetica"/>
                <w:color w:val="auto"/>
                <w:spacing w:val="0"/>
                <w:position w:val="0"/>
                <w:sz w:val="22"/>
                <w:shd w:fill="auto" w:val="clear"/>
                <w:vertAlign w:val="superscript"/>
              </w:rPr>
              <w:t xml:space="preserve">3</w:t>
            </w:r>
          </w:p>
        </w:tc>
        <w:tc>
          <w:tcPr>
            <w:tcW w:w="1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0.05 mg/m</w:t>
            </w:r>
            <w:r>
              <w:rPr>
                <w:rFonts w:ascii="Helvetica" w:hAnsi="Helvetica" w:cs="Helvetica" w:eastAsia="Helvetica"/>
                <w:color w:val="auto"/>
                <w:spacing w:val="0"/>
                <w:position w:val="0"/>
                <w:sz w:val="22"/>
                <w:shd w:fill="auto" w:val="clear"/>
                <w:vertAlign w:val="superscript"/>
              </w:rPr>
              <w:t xml:space="preserve">3</w:t>
            </w:r>
          </w:p>
        </w:tc>
        <w:tc>
          <w:tcPr>
            <w:tcW w:w="17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2"/>
                <w:shd w:fill="auto" w:val="clear"/>
              </w:rPr>
              <w:t xml:space="preserve">0.02 mg/m</w:t>
            </w:r>
            <w:r>
              <w:rPr>
                <w:rFonts w:ascii="Helvetica" w:hAnsi="Helvetica" w:cs="Helvetica" w:eastAsia="Helvetica"/>
                <w:color w:val="auto"/>
                <w:spacing w:val="0"/>
                <w:position w:val="0"/>
                <w:sz w:val="22"/>
                <w:shd w:fill="auto" w:val="clear"/>
                <w:vertAlign w:val="superscript"/>
              </w:rPr>
              <w:t xml:space="preserve">3 </w:t>
            </w:r>
            <w:r>
              <w:rPr>
                <w:rFonts w:ascii="Helvetica" w:hAnsi="Helvetica" w:cs="Helvetica" w:eastAsia="Helvetica"/>
                <w:color w:val="auto"/>
                <w:spacing w:val="0"/>
                <w:position w:val="0"/>
                <w:sz w:val="15"/>
                <w:shd w:fill="auto" w:val="clear"/>
              </w:rPr>
              <w:t xml:space="preserve">(IHL)</w:t>
            </w:r>
          </w:p>
        </w:tc>
      </w:tr>
      <w:tr>
        <w:trPr>
          <w:trHeight w:val="1" w:hRule="atLeast"/>
          <w:jc w:val="left"/>
        </w:trPr>
        <w:tc>
          <w:tcPr>
            <w:tcW w:w="2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hd w:fill="auto" w:val="clear"/>
              </w:rPr>
            </w:pPr>
            <w:r>
              <w:rPr>
                <w:rFonts w:ascii="Helvetica" w:hAnsi="Helvetica" w:cs="Helvetica" w:eastAsia="Helvetica"/>
                <w:color w:val="auto"/>
                <w:spacing w:val="0"/>
                <w:position w:val="0"/>
                <w:sz w:val="21"/>
                <w:shd w:fill="auto" w:val="clear"/>
              </w:rPr>
              <w:t xml:space="preserve">Lead inorganic (as Pb)</w:t>
            </w:r>
          </w:p>
        </w:tc>
        <w:tc>
          <w:tcPr>
            <w:tcW w:w="12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0.05 mg/m</w:t>
            </w:r>
            <w:r>
              <w:rPr>
                <w:rFonts w:ascii="Helvetica" w:hAnsi="Helvetica" w:cs="Helvetica" w:eastAsia="Helvetica"/>
                <w:color w:val="auto"/>
                <w:spacing w:val="0"/>
                <w:position w:val="0"/>
                <w:sz w:val="22"/>
                <w:shd w:fill="auto" w:val="clear"/>
                <w:vertAlign w:val="superscript"/>
              </w:rPr>
              <w:t xml:space="preserve">3</w:t>
            </w:r>
          </w:p>
        </w:tc>
        <w:tc>
          <w:tcPr>
            <w:tcW w:w="1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0.05 mg/m</w:t>
            </w:r>
            <w:r>
              <w:rPr>
                <w:rFonts w:ascii="Helvetica" w:hAnsi="Helvetica" w:cs="Helvetica" w:eastAsia="Helvetica"/>
                <w:color w:val="auto"/>
                <w:spacing w:val="0"/>
                <w:position w:val="0"/>
                <w:sz w:val="22"/>
                <w:shd w:fill="auto" w:val="clear"/>
                <w:vertAlign w:val="superscript"/>
              </w:rPr>
              <w:t xml:space="preserve">3</w:t>
            </w:r>
          </w:p>
        </w:tc>
        <w:tc>
          <w:tcPr>
            <w:tcW w:w="17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0.05 mg/m</w:t>
            </w:r>
            <w:r>
              <w:rPr>
                <w:rFonts w:ascii="Helvetica" w:hAnsi="Helvetica" w:cs="Helvetica" w:eastAsia="Helvetica"/>
                <w:color w:val="auto"/>
                <w:spacing w:val="0"/>
                <w:position w:val="0"/>
                <w:sz w:val="22"/>
                <w:shd w:fill="auto" w:val="clear"/>
                <w:vertAlign w:val="superscript"/>
              </w:rPr>
              <w:t xml:space="preserve">3</w:t>
            </w:r>
          </w:p>
        </w:tc>
      </w:tr>
      <w:tr>
        <w:trPr>
          <w:trHeight w:val="1" w:hRule="atLeast"/>
          <w:jc w:val="left"/>
        </w:trPr>
        <w:tc>
          <w:tcPr>
            <w:tcW w:w="2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Manganese compounds (as Mn)</w:t>
            </w:r>
          </w:p>
        </w:tc>
        <w:tc>
          <w:tcPr>
            <w:tcW w:w="12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(C) 5</w:t>
            </w:r>
          </w:p>
        </w:tc>
        <w:tc>
          <w:tcPr>
            <w:tcW w:w="1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0.2 mg/m</w:t>
            </w:r>
            <w:r>
              <w:rPr>
                <w:rFonts w:ascii="Helvetica" w:hAnsi="Helvetica" w:cs="Helvetica" w:eastAsia="Helvetica"/>
                <w:color w:val="auto"/>
                <w:spacing w:val="0"/>
                <w:position w:val="0"/>
                <w:sz w:val="22"/>
                <w:shd w:fill="auto" w:val="clear"/>
                <w:vertAlign w:val="superscript"/>
              </w:rPr>
              <w:t xml:space="preserve">3</w:t>
            </w:r>
          </w:p>
        </w:tc>
        <w:tc>
          <w:tcPr>
            <w:tcW w:w="1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vertAlign w:val="superscript"/>
              </w:rPr>
            </w:pPr>
            <w:r>
              <w:rPr>
                <w:rFonts w:ascii="Helvetica" w:hAnsi="Helvetica" w:cs="Helvetica" w:eastAsia="Helvetica"/>
                <w:color w:val="auto"/>
                <w:spacing w:val="0"/>
                <w:position w:val="0"/>
                <w:sz w:val="22"/>
                <w:shd w:fill="auto" w:val="clear"/>
              </w:rPr>
              <w:t xml:space="preserve">1 mg/m</w:t>
            </w:r>
            <w:r>
              <w:rPr>
                <w:rFonts w:ascii="Helvetica" w:hAnsi="Helvetica" w:cs="Helvetica" w:eastAsia="Helvetica"/>
                <w:color w:val="auto"/>
                <w:spacing w:val="0"/>
                <w:position w:val="0"/>
                <w:sz w:val="22"/>
                <w:shd w:fill="auto" w:val="clear"/>
                <w:vertAlign w:val="superscript"/>
              </w:rPr>
              <w:t xml:space="preserve">3</w:t>
            </w:r>
          </w:p>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(ST) 3 mg/m</w:t>
            </w:r>
            <w:r>
              <w:rPr>
                <w:rFonts w:ascii="Helvetica" w:hAnsi="Helvetica" w:cs="Helvetica" w:eastAsia="Helvetica"/>
                <w:color w:val="auto"/>
                <w:spacing w:val="0"/>
                <w:position w:val="0"/>
                <w:sz w:val="22"/>
                <w:shd w:fill="auto" w:val="clear"/>
                <w:vertAlign w:val="superscript"/>
              </w:rPr>
              <w:t xml:space="preserve">3</w:t>
            </w:r>
          </w:p>
        </w:tc>
        <w:tc>
          <w:tcPr>
            <w:tcW w:w="17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0.02 mg/m</w:t>
            </w:r>
            <w:r>
              <w:rPr>
                <w:rFonts w:ascii="Helvetica" w:hAnsi="Helvetica" w:cs="Helvetica" w:eastAsia="Helvetica"/>
                <w:color w:val="auto"/>
                <w:spacing w:val="0"/>
                <w:position w:val="0"/>
                <w:sz w:val="22"/>
                <w:shd w:fill="auto" w:val="clear"/>
                <w:vertAlign w:val="superscript"/>
              </w:rPr>
              <w:t xml:space="preserve">3 </w:t>
            </w:r>
            <w:r>
              <w:rPr>
                <w:rFonts w:ascii="Helvetica" w:hAnsi="Helvetica" w:cs="Helvetica" w:eastAsia="Helvetica"/>
                <w:color w:val="auto"/>
                <w:spacing w:val="0"/>
                <w:position w:val="0"/>
                <w:sz w:val="16"/>
                <w:shd w:fill="auto" w:val="clear"/>
              </w:rPr>
              <w:t xml:space="preserve">(resp.)</w:t>
            </w:r>
          </w:p>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2"/>
                <w:shd w:fill="auto" w:val="clear"/>
              </w:rPr>
              <w:t xml:space="preserve">0.1 mg/m</w:t>
            </w:r>
            <w:r>
              <w:rPr>
                <w:rFonts w:ascii="Helvetica" w:hAnsi="Helvetica" w:cs="Helvetica" w:eastAsia="Helvetica"/>
                <w:color w:val="auto"/>
                <w:spacing w:val="0"/>
                <w:position w:val="0"/>
                <w:sz w:val="22"/>
                <w:shd w:fill="auto" w:val="clear"/>
                <w:vertAlign w:val="superscript"/>
              </w:rPr>
              <w:t xml:space="preserve">3 </w:t>
            </w:r>
            <w:r>
              <w:rPr>
                <w:rFonts w:ascii="Helvetica" w:hAnsi="Helvetica" w:cs="Helvetica" w:eastAsia="Helvetica"/>
                <w:color w:val="auto"/>
                <w:spacing w:val="0"/>
                <w:position w:val="0"/>
                <w:sz w:val="16"/>
                <w:shd w:fill="auto" w:val="clear"/>
              </w:rPr>
              <w:t xml:space="preserve">(IHL) (for elemental &amp; inorganic compounds)</w:t>
            </w:r>
          </w:p>
        </w:tc>
      </w:tr>
      <w:tr>
        <w:trPr>
          <w:trHeight w:val="1" w:hRule="atLeast"/>
          <w:jc w:val="left"/>
        </w:trPr>
        <w:tc>
          <w:tcPr>
            <w:tcW w:w="2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hd w:fill="auto" w:val="clear"/>
              </w:rPr>
            </w:pPr>
            <w:r>
              <w:rPr>
                <w:rFonts w:ascii="Helvetica" w:hAnsi="Helvetica" w:cs="Helvetica" w:eastAsia="Helvetica"/>
                <w:color w:val="auto"/>
                <w:spacing w:val="0"/>
                <w:position w:val="0"/>
                <w:sz w:val="21"/>
                <w:shd w:fill="auto" w:val="clear"/>
              </w:rPr>
              <w:t xml:space="preserve">Nickel, metal &amp; insoluble compounds (as Ni)</w:t>
            </w:r>
          </w:p>
        </w:tc>
        <w:tc>
          <w:tcPr>
            <w:tcW w:w="12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1</w:t>
            </w:r>
          </w:p>
        </w:tc>
        <w:tc>
          <w:tcPr>
            <w:tcW w:w="1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vertAlign w:val="superscript"/>
              </w:rPr>
            </w:pPr>
            <w:r>
              <w:rPr>
                <w:rFonts w:ascii="Helvetica" w:hAnsi="Helvetica" w:cs="Helvetica" w:eastAsia="Helvetica"/>
                <w:color w:val="auto"/>
                <w:spacing w:val="0"/>
                <w:position w:val="0"/>
                <w:sz w:val="16"/>
                <w:shd w:fill="auto" w:val="clear"/>
              </w:rPr>
              <w:t xml:space="preserve">metal</w:t>
            </w:r>
            <w:r>
              <w:rPr>
                <w:rFonts w:ascii="Helvetica" w:hAnsi="Helvetica" w:cs="Helvetica" w:eastAsia="Helvetica"/>
                <w:color w:val="auto"/>
                <w:spacing w:val="0"/>
                <w:position w:val="0"/>
                <w:sz w:val="22"/>
                <w:shd w:fill="auto" w:val="clear"/>
              </w:rPr>
              <w:t xml:space="preserve"> 0.5 mg/m</w:t>
            </w:r>
            <w:r>
              <w:rPr>
                <w:rFonts w:ascii="Helvetica" w:hAnsi="Helvetica" w:cs="Helvetica" w:eastAsia="Helvetica"/>
                <w:color w:val="auto"/>
                <w:spacing w:val="0"/>
                <w:position w:val="0"/>
                <w:sz w:val="22"/>
                <w:shd w:fill="auto" w:val="clear"/>
                <w:vertAlign w:val="superscript"/>
              </w:rPr>
              <w:t xml:space="preserve">3</w:t>
            </w:r>
          </w:p>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16"/>
                <w:shd w:fill="auto" w:val="clear"/>
              </w:rPr>
              <w:t xml:space="preserve">insoluble</w:t>
            </w:r>
            <w:r>
              <w:rPr>
                <w:rFonts w:ascii="Helvetica" w:hAnsi="Helvetica" w:cs="Helvetica" w:eastAsia="Helvetica"/>
                <w:color w:val="auto"/>
                <w:spacing w:val="0"/>
                <w:position w:val="0"/>
                <w:sz w:val="22"/>
                <w:shd w:fill="auto" w:val="clear"/>
              </w:rPr>
              <w:t xml:space="preserve"> 0.1 mg/m</w:t>
            </w:r>
            <w:r>
              <w:rPr>
                <w:rFonts w:ascii="Helvetica" w:hAnsi="Helvetica" w:cs="Helvetica" w:eastAsia="Helvetica"/>
                <w:color w:val="auto"/>
                <w:spacing w:val="0"/>
                <w:position w:val="0"/>
                <w:sz w:val="22"/>
                <w:shd w:fill="auto" w:val="clear"/>
                <w:vertAlign w:val="superscript"/>
              </w:rPr>
              <w:t xml:space="preserve">3</w:t>
            </w:r>
          </w:p>
        </w:tc>
        <w:tc>
          <w:tcPr>
            <w:tcW w:w="1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vertAlign w:val="superscript"/>
              </w:rPr>
            </w:pPr>
            <w:r>
              <w:rPr>
                <w:rFonts w:ascii="Helvetica" w:hAnsi="Helvetica" w:cs="Helvetica" w:eastAsia="Helvetica"/>
                <w:color w:val="auto"/>
                <w:spacing w:val="0"/>
                <w:position w:val="0"/>
                <w:sz w:val="16"/>
                <w:shd w:fill="auto" w:val="clear"/>
              </w:rPr>
              <w:t xml:space="preserve">Ca</w:t>
            </w:r>
            <w:r>
              <w:rPr>
                <w:rFonts w:ascii="Helvetica" w:hAnsi="Helvetica" w:cs="Helvetica" w:eastAsia="Helvetica"/>
                <w:color w:val="auto"/>
                <w:spacing w:val="0"/>
                <w:position w:val="0"/>
                <w:sz w:val="22"/>
                <w:shd w:fill="auto" w:val="clear"/>
              </w:rPr>
              <w:t xml:space="preserve"> 0.015 mg/m</w:t>
            </w:r>
            <w:r>
              <w:rPr>
                <w:rFonts w:ascii="Helvetica" w:hAnsi="Helvetica" w:cs="Helvetica" w:eastAsia="Helvetica"/>
                <w:color w:val="auto"/>
                <w:spacing w:val="0"/>
                <w:position w:val="0"/>
                <w:sz w:val="22"/>
                <w:shd w:fill="auto" w:val="clear"/>
                <w:vertAlign w:val="superscript"/>
              </w:rPr>
              <w:t xml:space="preserve">3</w:t>
            </w:r>
          </w:p>
          <w:p>
            <w:pPr>
              <w:tabs>
                <w:tab w:val="left" w:pos="360" w:leader="none"/>
                <w:tab w:val="left" w:pos="1080" w:leader="none"/>
              </w:tabs>
              <w:spacing w:before="0" w:after="0" w:line="240"/>
              <w:ind w:right="0" w:left="0" w:firstLine="0"/>
              <w:jc w:val="center"/>
              <w:rPr>
                <w:color w:val="auto"/>
                <w:spacing w:val="0"/>
                <w:position w:val="0"/>
                <w:shd w:fill="auto" w:val="clear"/>
              </w:rPr>
            </w:pPr>
          </w:p>
        </w:tc>
        <w:tc>
          <w:tcPr>
            <w:tcW w:w="17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16"/>
                <w:shd w:fill="auto" w:val="clear"/>
              </w:rPr>
            </w:pPr>
          </w:p>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16"/>
                <w:shd w:fill="auto" w:val="clear"/>
              </w:rPr>
              <w:t xml:space="preserve">Soluble inorganic: </w:t>
            </w:r>
            <w:r>
              <w:rPr>
                <w:rFonts w:ascii="Helvetica" w:hAnsi="Helvetica" w:cs="Helvetica" w:eastAsia="Helvetica"/>
                <w:color w:val="auto"/>
                <w:spacing w:val="0"/>
                <w:position w:val="0"/>
                <w:sz w:val="22"/>
                <w:shd w:fill="auto" w:val="clear"/>
              </w:rPr>
              <w:t xml:space="preserve">0.1 mg/m</w:t>
            </w:r>
            <w:r>
              <w:rPr>
                <w:rFonts w:ascii="Helvetica" w:hAnsi="Helvetica" w:cs="Helvetica" w:eastAsia="Helvetica"/>
                <w:color w:val="auto"/>
                <w:spacing w:val="0"/>
                <w:position w:val="0"/>
                <w:sz w:val="22"/>
                <w:shd w:fill="auto" w:val="clear"/>
                <w:vertAlign w:val="superscript"/>
              </w:rPr>
              <w:t xml:space="preserve">3</w:t>
            </w:r>
            <w:r>
              <w:rPr>
                <w:rFonts w:ascii="Helvetica" w:hAnsi="Helvetica" w:cs="Helvetica" w:eastAsia="Helvetica"/>
                <w:color w:val="auto"/>
                <w:spacing w:val="0"/>
                <w:position w:val="0"/>
                <w:sz w:val="22"/>
                <w:shd w:fill="auto" w:val="clear"/>
              </w:rPr>
              <w:t xml:space="preserve"> </w:t>
            </w:r>
            <w:r>
              <w:rPr>
                <w:rFonts w:ascii="Helvetica" w:hAnsi="Helvetica" w:cs="Helvetica" w:eastAsia="Helvetica"/>
                <w:color w:val="auto"/>
                <w:spacing w:val="0"/>
                <w:position w:val="0"/>
                <w:sz w:val="16"/>
                <w:shd w:fill="auto" w:val="clear"/>
              </w:rPr>
              <w:t xml:space="preserve">(IHL)</w:t>
            </w:r>
          </w:p>
        </w:tc>
      </w:tr>
      <w:tr>
        <w:trPr>
          <w:trHeight w:val="1" w:hRule="atLeast"/>
          <w:jc w:val="left"/>
        </w:trPr>
        <w:tc>
          <w:tcPr>
            <w:tcW w:w="2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hd w:fill="auto" w:val="clear"/>
              </w:rPr>
            </w:pPr>
            <w:r>
              <w:rPr>
                <w:rFonts w:ascii="Helvetica" w:hAnsi="Helvetica" w:cs="Helvetica" w:eastAsia="Helvetica"/>
                <w:color w:val="auto"/>
                <w:spacing w:val="0"/>
                <w:position w:val="0"/>
                <w:sz w:val="21"/>
                <w:shd w:fill="auto" w:val="clear"/>
              </w:rPr>
              <w:t xml:space="preserve">Petroleum Distillates</w:t>
            </w:r>
          </w:p>
        </w:tc>
        <w:tc>
          <w:tcPr>
            <w:tcW w:w="12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2000</w:t>
            </w:r>
          </w:p>
        </w:tc>
        <w:tc>
          <w:tcPr>
            <w:tcW w:w="1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1600 mg/m</w:t>
            </w:r>
            <w:r>
              <w:rPr>
                <w:rFonts w:ascii="Helvetica" w:hAnsi="Helvetica" w:cs="Helvetica" w:eastAsia="Helvetica"/>
                <w:color w:val="auto"/>
                <w:spacing w:val="0"/>
                <w:position w:val="0"/>
                <w:sz w:val="22"/>
                <w:shd w:fill="auto" w:val="clear"/>
                <w:vertAlign w:val="superscript"/>
              </w:rPr>
              <w:t xml:space="preserve">3</w:t>
            </w:r>
          </w:p>
        </w:tc>
        <w:tc>
          <w:tcPr>
            <w:tcW w:w="1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350</w:t>
            </w:r>
            <w:r>
              <w:rPr>
                <w:rFonts w:ascii="Helvetica" w:hAnsi="Helvetica" w:cs="Helvetica" w:eastAsia="Helvetica"/>
                <w:color w:val="auto"/>
                <w:spacing w:val="0"/>
                <w:position w:val="0"/>
                <w:sz w:val="16"/>
                <w:shd w:fill="auto" w:val="clear"/>
              </w:rPr>
              <w:t xml:space="preserve"> </w:t>
            </w:r>
            <w:r>
              <w:rPr>
                <w:rFonts w:ascii="Helvetica" w:hAnsi="Helvetica" w:cs="Helvetica" w:eastAsia="Helvetica"/>
                <w:color w:val="auto"/>
                <w:spacing w:val="0"/>
                <w:position w:val="0"/>
                <w:sz w:val="22"/>
                <w:shd w:fill="auto" w:val="clear"/>
              </w:rPr>
              <w:t xml:space="preserve">mg/m</w:t>
            </w:r>
            <w:r>
              <w:rPr>
                <w:rFonts w:ascii="Helvetica" w:hAnsi="Helvetica" w:cs="Helvetica" w:eastAsia="Helvetica"/>
                <w:color w:val="auto"/>
                <w:spacing w:val="0"/>
                <w:position w:val="0"/>
                <w:sz w:val="22"/>
                <w:shd w:fill="auto" w:val="clear"/>
                <w:vertAlign w:val="superscript"/>
              </w:rPr>
              <w:t xml:space="preserve">3 </w:t>
            </w:r>
            <w:r>
              <w:rPr>
                <w:rFonts w:ascii="Helvetica" w:hAnsi="Helvetica" w:cs="Helvetica" w:eastAsia="Helvetica"/>
                <w:color w:val="auto"/>
                <w:spacing w:val="0"/>
                <w:position w:val="0"/>
                <w:sz w:val="22"/>
                <w:shd w:fill="auto" w:val="clear"/>
              </w:rPr>
              <w:t xml:space="preserve">(C) 1800 mg/m</w:t>
            </w:r>
            <w:r>
              <w:rPr>
                <w:rFonts w:ascii="Helvetica" w:hAnsi="Helvetica" w:cs="Helvetica" w:eastAsia="Helvetica"/>
                <w:color w:val="auto"/>
                <w:spacing w:val="0"/>
                <w:position w:val="0"/>
                <w:sz w:val="22"/>
                <w:shd w:fill="auto" w:val="clear"/>
                <w:vertAlign w:val="superscript"/>
              </w:rPr>
              <w:t xml:space="preserve">3</w:t>
            </w:r>
            <w:r>
              <w:rPr>
                <w:rFonts w:ascii="Helvetica" w:hAnsi="Helvetica" w:cs="Helvetica" w:eastAsia="Helvetica"/>
                <w:color w:val="auto"/>
                <w:spacing w:val="0"/>
                <w:position w:val="0"/>
                <w:sz w:val="22"/>
                <w:shd w:fill="auto" w:val="clear"/>
              </w:rPr>
              <w:t xml:space="preserve"> [15 min]</w:t>
            </w:r>
          </w:p>
        </w:tc>
        <w:tc>
          <w:tcPr>
            <w:tcW w:w="17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See </w:t>
            </w:r>
            <w:r>
              <w:rPr>
                <w:rFonts w:ascii="Helvetica" w:hAnsi="Helvetica" w:cs="Helvetica" w:eastAsia="Helvetica"/>
                <w:i/>
                <w:color w:val="auto"/>
                <w:spacing w:val="0"/>
                <w:position w:val="0"/>
                <w:sz w:val="22"/>
                <w:shd w:fill="auto" w:val="clear"/>
              </w:rPr>
              <w:t xml:space="preserve">TLV book</w:t>
            </w:r>
            <w:r>
              <w:rPr>
                <w:rFonts w:ascii="Helvetica" w:hAnsi="Helvetica" w:cs="Helvetica" w:eastAsia="Helvetica"/>
                <w:color w:val="auto"/>
                <w:spacing w:val="0"/>
                <w:position w:val="0"/>
                <w:sz w:val="22"/>
                <w:shd w:fill="auto" w:val="clear"/>
              </w:rPr>
              <w:t xml:space="preserve">, Appendix H</w:t>
            </w:r>
          </w:p>
        </w:tc>
      </w:tr>
      <w:tr>
        <w:trPr>
          <w:trHeight w:val="1" w:hRule="atLeast"/>
          <w:jc w:val="left"/>
        </w:trPr>
        <w:tc>
          <w:tcPr>
            <w:tcW w:w="2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rFonts w:ascii="Helvetica" w:hAnsi="Helvetica" w:cs="Helvetica" w:eastAsia="Helvetica"/>
                <w:color w:val="auto"/>
                <w:spacing w:val="0"/>
                <w:position w:val="0"/>
                <w:sz w:val="21"/>
                <w:shd w:fill="auto" w:val="clear"/>
              </w:rPr>
            </w:pPr>
            <w:r>
              <w:rPr>
                <w:rFonts w:ascii="Helvetica" w:hAnsi="Helvetica" w:cs="Helvetica" w:eastAsia="Helvetica"/>
                <w:color w:val="auto"/>
                <w:spacing w:val="0"/>
                <w:position w:val="0"/>
                <w:sz w:val="21"/>
                <w:shd w:fill="auto" w:val="clear"/>
              </w:rPr>
              <w:t xml:space="preserve">Titanium dioxide- </w:t>
            </w:r>
          </w:p>
          <w:p>
            <w:pPr>
              <w:tabs>
                <w:tab w:val="left" w:pos="360" w:leader="none"/>
                <w:tab w:val="left" w:pos="1080" w:leader="none"/>
              </w:tabs>
              <w:spacing w:before="0" w:after="0" w:line="240"/>
              <w:ind w:right="0" w:left="0" w:firstLine="0"/>
              <w:jc w:val="left"/>
              <w:rPr>
                <w:color w:val="auto"/>
                <w:spacing w:val="0"/>
                <w:position w:val="0"/>
                <w:shd w:fill="auto" w:val="clear"/>
              </w:rPr>
            </w:pPr>
            <w:r>
              <w:rPr>
                <w:rFonts w:ascii="Helvetica" w:hAnsi="Helvetica" w:cs="Helvetica" w:eastAsia="Helvetica"/>
                <w:color w:val="auto"/>
                <w:spacing w:val="0"/>
                <w:position w:val="0"/>
                <w:sz w:val="21"/>
                <w:shd w:fill="auto" w:val="clear"/>
              </w:rPr>
              <w:t xml:space="preserve">Total dust</w:t>
            </w:r>
          </w:p>
        </w:tc>
        <w:tc>
          <w:tcPr>
            <w:tcW w:w="12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15</w:t>
            </w:r>
          </w:p>
        </w:tc>
        <w:tc>
          <w:tcPr>
            <w:tcW w:w="1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See PNOR</w:t>
            </w:r>
          </w:p>
        </w:tc>
        <w:tc>
          <w:tcPr>
            <w:tcW w:w="1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16"/>
                <w:shd w:fill="auto" w:val="clear"/>
              </w:rPr>
              <w:t xml:space="preserve">Ca (ultrafine particles) </w:t>
            </w:r>
            <w:r>
              <w:rPr>
                <w:rFonts w:ascii="Helvetica" w:hAnsi="Helvetica" w:cs="Helvetica" w:eastAsia="Helvetica"/>
                <w:color w:val="auto"/>
                <w:spacing w:val="0"/>
                <w:position w:val="0"/>
                <w:sz w:val="22"/>
                <w:shd w:fill="auto" w:val="clear"/>
              </w:rPr>
              <w:t xml:space="preserve">2.4 mg/m</w:t>
            </w:r>
            <w:r>
              <w:rPr>
                <w:rFonts w:ascii="Helvetica" w:hAnsi="Helvetica" w:cs="Helvetica" w:eastAsia="Helvetica"/>
                <w:color w:val="auto"/>
                <w:spacing w:val="0"/>
                <w:position w:val="0"/>
                <w:sz w:val="22"/>
                <w:shd w:fill="auto" w:val="clear"/>
                <w:vertAlign w:val="superscript"/>
              </w:rPr>
              <w:t xml:space="preserve">3</w:t>
            </w:r>
            <w:r>
              <w:rPr>
                <w:rFonts w:ascii="Helvetica" w:hAnsi="Helvetica" w:cs="Helvetica" w:eastAsia="Helvetica"/>
                <w:color w:val="auto"/>
                <w:spacing w:val="0"/>
                <w:position w:val="0"/>
                <w:sz w:val="22"/>
                <w:shd w:fill="auto" w:val="clear"/>
              </w:rPr>
              <w:t xml:space="preserve"> </w:t>
            </w:r>
            <w:r>
              <w:rPr>
                <w:rFonts w:ascii="Helvetica" w:hAnsi="Helvetica" w:cs="Helvetica" w:eastAsia="Helvetica"/>
                <w:color w:val="auto"/>
                <w:spacing w:val="0"/>
                <w:position w:val="0"/>
                <w:sz w:val="16"/>
                <w:shd w:fill="auto" w:val="clear"/>
              </w:rPr>
              <w:t xml:space="preserve">(fine) </w:t>
            </w:r>
            <w:r>
              <w:rPr>
                <w:rFonts w:ascii="Helvetica" w:hAnsi="Helvetica" w:cs="Helvetica" w:eastAsia="Helvetica"/>
                <w:color w:val="auto"/>
                <w:spacing w:val="0"/>
                <w:position w:val="0"/>
                <w:sz w:val="22"/>
                <w:shd w:fill="auto" w:val="clear"/>
              </w:rPr>
              <w:t xml:space="preserve">0.3 mg/m</w:t>
            </w:r>
            <w:r>
              <w:rPr>
                <w:rFonts w:ascii="Helvetica" w:hAnsi="Helvetica" w:cs="Helvetica" w:eastAsia="Helvetica"/>
                <w:color w:val="auto"/>
                <w:spacing w:val="0"/>
                <w:position w:val="0"/>
                <w:sz w:val="22"/>
                <w:shd w:fill="auto" w:val="clear"/>
                <w:vertAlign w:val="superscript"/>
              </w:rPr>
              <w:t xml:space="preserve">3</w:t>
            </w:r>
            <w:r>
              <w:rPr>
                <w:rFonts w:ascii="Helvetica" w:hAnsi="Helvetica" w:cs="Helvetica" w:eastAsia="Helvetica"/>
                <w:color w:val="auto"/>
                <w:spacing w:val="0"/>
                <w:position w:val="0"/>
                <w:sz w:val="22"/>
                <w:shd w:fill="auto" w:val="clear"/>
              </w:rPr>
              <w:t xml:space="preserve">  </w:t>
            </w:r>
            <w:r>
              <w:rPr>
                <w:rFonts w:ascii="Helvetica" w:hAnsi="Helvetica" w:cs="Helvetica" w:eastAsia="Helvetica"/>
                <w:color w:val="auto"/>
                <w:spacing w:val="0"/>
                <w:position w:val="0"/>
                <w:sz w:val="16"/>
                <w:shd w:fill="auto" w:val="clear"/>
              </w:rPr>
              <w:t xml:space="preserve">(ultrafine)</w:t>
            </w:r>
          </w:p>
        </w:tc>
        <w:tc>
          <w:tcPr>
            <w:tcW w:w="17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10 mg/m</w:t>
            </w:r>
            <w:r>
              <w:rPr>
                <w:rFonts w:ascii="Helvetica" w:hAnsi="Helvetica" w:cs="Helvetica" w:eastAsia="Helvetica"/>
                <w:color w:val="auto"/>
                <w:spacing w:val="0"/>
                <w:position w:val="0"/>
                <w:sz w:val="22"/>
                <w:shd w:fill="auto" w:val="clear"/>
                <w:vertAlign w:val="superscript"/>
              </w:rPr>
              <w:t xml:space="preserve">3</w:t>
            </w:r>
          </w:p>
        </w:tc>
      </w:tr>
    </w:tbl>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8.2</w:t>
        <w:tab/>
      </w:r>
      <w:r>
        <w:rPr>
          <w:rFonts w:ascii="Helvetica" w:hAnsi="Helvetica" w:cs="Helvetica" w:eastAsia="Helvetica"/>
          <w:b/>
          <w:color w:val="auto"/>
          <w:spacing w:val="0"/>
          <w:position w:val="0"/>
          <w:sz w:val="22"/>
          <w:shd w:fill="auto" w:val="clear"/>
        </w:rPr>
        <w:t xml:space="preserve">General:</w:t>
      </w:r>
      <w:r>
        <w:rPr>
          <w:rFonts w:ascii="Helvetica" w:hAnsi="Helvetica" w:cs="Helvetica" w:eastAsia="Helvetica"/>
          <w:color w:val="auto"/>
          <w:spacing w:val="0"/>
          <w:position w:val="0"/>
          <w:sz w:val="22"/>
          <w:shd w:fill="auto" w:val="clear"/>
        </w:rPr>
        <w:tab/>
        <w:tab/>
      </w:r>
    </w:p>
    <w:p>
      <w:pPr>
        <w:tabs>
          <w:tab w:val="left" w:pos="360" w:leader="none"/>
          <w:tab w:val="left" w:pos="1080" w:leader="none"/>
        </w:tabs>
        <w:spacing w:before="0" w:after="0" w:line="240"/>
        <w:ind w:right="0" w:left="108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Use with adequate explosion-proof ventilation to meet the limits listed in the exposure guidelines.</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Inhalation:</w:t>
      </w:r>
      <w:r>
        <w:rPr>
          <w:rFonts w:ascii="Helvetica" w:hAnsi="Helvetica" w:cs="Helvetica" w:eastAsia="Helvetica"/>
          <w:color w:val="auto"/>
          <w:spacing w:val="0"/>
          <w:position w:val="0"/>
          <w:sz w:val="22"/>
          <w:shd w:fill="auto" w:val="clear"/>
        </w:rPr>
        <w:t xml:space="preserve">  </w:t>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Dust is not normally a hazard unless mechanical cutting is used.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Where dust is generated in confined spaces it is recommended that extraction be </w:t>
        <w:tab/>
        <w:tab/>
        <w:tab/>
        <w:t xml:space="preserve">used. As with all cutting procedures, it is recommended that eye protection and </w:t>
        <w:tab/>
        <w:tab/>
        <w:tab/>
        <w:t xml:space="preserve">disposable dust mask be worn.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It is recommended when non-mechanical cutting is carried out that the product is cut </w:t>
        <w:tab/>
        <w:tab/>
        <w:tab/>
        <w:t xml:space="preserve">with a trimming knife to minimize the generation of dust.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Hands:</w:t>
      </w:r>
      <w:r>
        <w:rPr>
          <w:rFonts w:ascii="Helvetica" w:hAnsi="Helvetica" w:cs="Helvetica" w:eastAsia="Helvetica"/>
          <w:color w:val="auto"/>
          <w:spacing w:val="0"/>
          <w:position w:val="0"/>
          <w:sz w:val="22"/>
          <w:shd w:fill="auto" w:val="clear"/>
        </w:rPr>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It is recommended that gloves be worn when handling the product. </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Eyes:</w:t>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r>
      <w:r>
        <w:rPr>
          <w:rFonts w:ascii="Helvetica" w:hAnsi="Helvetica" w:cs="Helvetica" w:eastAsia="Helvetica"/>
          <w:color w:val="auto"/>
          <w:spacing w:val="0"/>
          <w:position w:val="0"/>
          <w:sz w:val="22"/>
          <w:shd w:fill="auto" w:val="clear"/>
        </w:rPr>
        <w:t xml:space="preserve">As with all cutting procedures, it is recommended that eye protection be worn.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When installing product in very bright or sunny weather, it is advisable to wear UV </w:t>
        <w:tab/>
        <w:tab/>
        <w:tab/>
        <w:t xml:space="preserve">protective sunglasses or goggles.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Skin:</w:t>
      </w:r>
      <w:r>
        <w:rPr>
          <w:rFonts w:ascii="Helvetica" w:hAnsi="Helvetica" w:cs="Helvetica" w:eastAsia="Helvetica"/>
          <w:color w:val="auto"/>
          <w:spacing w:val="0"/>
          <w:position w:val="0"/>
          <w:sz w:val="22"/>
          <w:shd w:fill="auto" w:val="clear"/>
        </w:rPr>
        <w:tab/>
        <w:tab/>
      </w:r>
    </w:p>
    <w:p>
      <w:pPr>
        <w:tabs>
          <w:tab w:val="left" w:pos="360" w:leader="none"/>
          <w:tab w:val="left" w:pos="1080" w:leader="none"/>
        </w:tabs>
        <w:spacing w:before="0" w:after="0" w:line="240"/>
        <w:ind w:right="0" w:left="108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Due to the product’s reflective surfaces, when installing product in very bright or sunny weather it is advisable that suitable UV block sun-cream is applied.</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Other:</w:t>
      </w:r>
      <w:r>
        <w:rPr>
          <w:rFonts w:ascii="Helvetica" w:hAnsi="Helvetica" w:cs="Helvetica" w:eastAsia="Helvetica"/>
          <w:color w:val="auto"/>
          <w:spacing w:val="0"/>
          <w:position w:val="0"/>
          <w:sz w:val="22"/>
          <w:shd w:fill="auto" w:val="clear"/>
        </w:rPr>
        <w:tab/>
        <w:tab/>
      </w:r>
    </w:p>
    <w:p>
      <w:pPr>
        <w:spacing w:before="0" w:after="0" w:line="240"/>
        <w:ind w:right="0" w:left="720" w:firstLine="0"/>
        <w:jc w:val="left"/>
        <w:rPr>
          <w:rFonts w:ascii="MS Shell Dlg 2" w:hAnsi="MS Shell Dlg 2" w:cs="MS Shell Dlg 2" w:eastAsia="MS Shell Dlg 2"/>
          <w:color w:val="auto"/>
          <w:spacing w:val="0"/>
          <w:position w:val="0"/>
          <w:sz w:val="17"/>
          <w:shd w:fill="auto" w:val="clear"/>
        </w:rPr>
      </w:pPr>
      <w:r>
        <w:rPr>
          <w:rFonts w:ascii="Helvetica" w:hAnsi="Helvetica" w:cs="Helvetica" w:eastAsia="Helvetica"/>
          <w:color w:val="auto"/>
          <w:spacing w:val="0"/>
          <w:position w:val="0"/>
          <w:sz w:val="22"/>
          <w:shd w:fill="auto" w:val="clear"/>
        </w:rPr>
        <w:t xml:space="preserve">The reflective facing sometimes used on AL13</w:t>
      </w:r>
      <w:r>
        <w:rPr>
          <w:rFonts w:ascii="Arial Black" w:hAnsi="Arial Black" w:cs="Arial Black" w:eastAsia="Arial Black"/>
          <w:color w:val="auto"/>
          <w:spacing w:val="0"/>
          <w:position w:val="0"/>
          <w:sz w:val="20"/>
          <w:shd w:fill="auto" w:val="clear"/>
          <w:vertAlign w:val="subscript"/>
        </w:rPr>
        <w:t xml:space="preserve">®</w:t>
      </w:r>
      <w:r>
        <w:rPr>
          <w:rFonts w:ascii="Helvetica" w:hAnsi="Helvetica" w:cs="Helvetica" w:eastAsia="Helvetica"/>
          <w:color w:val="auto"/>
          <w:spacing w:val="0"/>
          <w:position w:val="0"/>
          <w:sz w:val="22"/>
          <w:shd w:fill="auto" w:val="clear"/>
        </w:rPr>
        <w:t xml:space="preserve"> panels can be slippery underfoot when wet. Therefore, it is recommended that any excess material should be contained to avoid a slip hazard.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9.1</w:t>
        <w:tab/>
      </w:r>
      <w:r>
        <w:rPr>
          <w:rFonts w:ascii="Helvetica" w:hAnsi="Helvetica" w:cs="Helvetica" w:eastAsia="Helvetica"/>
          <w:b/>
          <w:color w:val="auto"/>
          <w:spacing w:val="0"/>
          <w:position w:val="0"/>
          <w:sz w:val="22"/>
          <w:shd w:fill="auto" w:val="clear"/>
        </w:rPr>
        <w:t xml:space="preserve">Physical State:</w:t>
      </w:r>
      <w:r>
        <w:rPr>
          <w:rFonts w:ascii="Helvetica" w:hAnsi="Helvetica" w:cs="Helvetica" w:eastAsia="Helvetica"/>
          <w:color w:val="auto"/>
          <w:spacing w:val="0"/>
          <w:position w:val="0"/>
          <w:sz w:val="22"/>
          <w:shd w:fill="auto" w:val="clear"/>
        </w:rPr>
        <w:tab/>
        <w:tab/>
        <w:tab/>
        <w:t xml:space="preserve">Solid</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Appearance:</w:t>
      </w:r>
      <w:r>
        <w:rPr>
          <w:rFonts w:ascii="Helvetica" w:hAnsi="Helvetica" w:cs="Helvetica" w:eastAsia="Helvetica"/>
          <w:color w:val="auto"/>
          <w:spacing w:val="0"/>
          <w:position w:val="0"/>
          <w:sz w:val="22"/>
          <w:shd w:fill="auto" w:val="clear"/>
        </w:rPr>
        <w:tab/>
        <w:tab/>
        <w:tab/>
        <w:t xml:space="preserve">Aluminum with varying color/finish and profile</w:t>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Odor:</w:t>
      </w:r>
      <w:r>
        <w:rPr>
          <w:rFonts w:ascii="Helvetica" w:hAnsi="Helvetica" w:cs="Helvetica" w:eastAsia="Helvetica"/>
          <w:color w:val="auto"/>
          <w:spacing w:val="0"/>
          <w:position w:val="0"/>
          <w:sz w:val="22"/>
          <w:shd w:fill="auto" w:val="clear"/>
        </w:rPr>
        <w:tab/>
        <w:tab/>
        <w:tab/>
        <w:tab/>
        <w:t xml:space="preserve">Negligible</w:t>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Odor Threshold:</w:t>
      </w:r>
      <w:r>
        <w:rPr>
          <w:rFonts w:ascii="Helvetica" w:hAnsi="Helvetica" w:cs="Helvetica" w:eastAsia="Helvetica"/>
          <w:color w:val="auto"/>
          <w:spacing w:val="0"/>
          <w:position w:val="0"/>
          <w:sz w:val="22"/>
          <w:shd w:fill="auto" w:val="clear"/>
        </w:rPr>
        <w:tab/>
        <w:tab/>
        <w:tab/>
        <w:t xml:space="preserve">Not applicable</w:t>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pH:</w:t>
      </w:r>
      <w:r>
        <w:rPr>
          <w:rFonts w:ascii="Helvetica" w:hAnsi="Helvetica" w:cs="Helvetica" w:eastAsia="Helvetica"/>
          <w:color w:val="auto"/>
          <w:spacing w:val="0"/>
          <w:position w:val="0"/>
          <w:sz w:val="22"/>
          <w:shd w:fill="auto" w:val="clear"/>
        </w:rPr>
        <w:tab/>
        <w:tab/>
        <w:tab/>
        <w:tab/>
        <w:t xml:space="preserve">Neutral</w:t>
        <w:tab/>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Evaporation Rate:</w:t>
      </w:r>
      <w:r>
        <w:rPr>
          <w:rFonts w:ascii="Helvetica" w:hAnsi="Helvetica" w:cs="Helvetica" w:eastAsia="Helvetica"/>
          <w:color w:val="auto"/>
          <w:spacing w:val="0"/>
          <w:position w:val="0"/>
          <w:sz w:val="22"/>
          <w:shd w:fill="auto" w:val="clear"/>
        </w:rPr>
        <w:tab/>
        <w:tab/>
        <w:t xml:space="preserve">Not applicable</w:t>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Melting Point:</w:t>
      </w:r>
      <w:r>
        <w:rPr>
          <w:rFonts w:ascii="Helvetica" w:hAnsi="Helvetica" w:cs="Helvetica" w:eastAsia="Helvetica"/>
          <w:color w:val="auto"/>
          <w:spacing w:val="0"/>
          <w:position w:val="0"/>
          <w:sz w:val="22"/>
          <w:shd w:fill="auto" w:val="clear"/>
        </w:rPr>
        <w:tab/>
        <w:tab/>
        <w:tab/>
        <w:t xml:space="preserve">Aluminum: 660°C [1220°F],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ab/>
        <w:tab/>
        <w:tab/>
        <w:tab/>
        <w:t xml:space="preserve">Plastic: 108~126°C [226~258°F]</w:t>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Freezing Point:</w:t>
      </w:r>
      <w:r>
        <w:rPr>
          <w:rFonts w:ascii="Helvetica" w:hAnsi="Helvetica" w:cs="Helvetica" w:eastAsia="Helvetica"/>
          <w:color w:val="auto"/>
          <w:spacing w:val="0"/>
          <w:position w:val="0"/>
          <w:sz w:val="22"/>
          <w:shd w:fill="auto" w:val="clear"/>
        </w:rPr>
        <w:tab/>
        <w:tab/>
        <w:tab/>
        <w:t xml:space="preserve">Not applicable</w:t>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Boiling Point:</w:t>
      </w:r>
      <w:r>
        <w:rPr>
          <w:rFonts w:ascii="Helvetica" w:hAnsi="Helvetica" w:cs="Helvetica" w:eastAsia="Helvetica"/>
          <w:color w:val="auto"/>
          <w:spacing w:val="0"/>
          <w:position w:val="0"/>
          <w:sz w:val="22"/>
          <w:shd w:fill="auto" w:val="clear"/>
        </w:rPr>
        <w:tab/>
        <w:tab/>
        <w:tab/>
        <w:t xml:space="preserve">Not applicable</w:t>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Flash Point:</w:t>
      </w:r>
      <w:r>
        <w:rPr>
          <w:rFonts w:ascii="Helvetica" w:hAnsi="Helvetica" w:cs="Helvetica" w:eastAsia="Helvetica"/>
          <w:color w:val="auto"/>
          <w:spacing w:val="0"/>
          <w:position w:val="0"/>
          <w:sz w:val="22"/>
          <w:shd w:fill="auto" w:val="clear"/>
        </w:rPr>
        <w:tab/>
        <w:tab/>
        <w:tab/>
        <w:t xml:space="preserve">Not applicable</w:t>
        <w:tab/>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Auto-ignition Temperature:</w:t>
      </w:r>
      <w:r>
        <w:rPr>
          <w:rFonts w:ascii="Helvetica" w:hAnsi="Helvetica" w:cs="Helvetica" w:eastAsia="Helvetica"/>
          <w:color w:val="auto"/>
          <w:spacing w:val="0"/>
          <w:position w:val="0"/>
          <w:sz w:val="22"/>
          <w:shd w:fill="auto" w:val="clear"/>
        </w:rPr>
        <w:tab/>
        <w:t xml:space="preserve">Not applicable </w:t>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Decomposition Temperature:</w:t>
      </w:r>
      <w:r>
        <w:rPr>
          <w:rFonts w:ascii="Helvetica" w:hAnsi="Helvetica" w:cs="Helvetica" w:eastAsia="Helvetica"/>
          <w:color w:val="auto"/>
          <w:spacing w:val="0"/>
          <w:position w:val="0"/>
          <w:sz w:val="22"/>
          <w:shd w:fill="auto" w:val="clear"/>
        </w:rPr>
        <w:tab/>
        <w:t xml:space="preserve">Not applicable </w:t>
        <w:tab/>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Flammability (solid, gas):</w:t>
      </w:r>
      <w:r>
        <w:rPr>
          <w:rFonts w:ascii="Helvetica" w:hAnsi="Helvetica" w:cs="Helvetica" w:eastAsia="Helvetica"/>
          <w:color w:val="auto"/>
          <w:spacing w:val="0"/>
          <w:position w:val="0"/>
          <w:sz w:val="22"/>
          <w:shd w:fill="auto" w:val="clear"/>
        </w:rPr>
        <w:tab/>
        <w:t xml:space="preserve">Not applicable</w:t>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Vapor Pressure:</w:t>
      </w:r>
      <w:r>
        <w:rPr>
          <w:rFonts w:ascii="Helvetica" w:hAnsi="Helvetica" w:cs="Helvetica" w:eastAsia="Helvetica"/>
          <w:color w:val="auto"/>
          <w:spacing w:val="0"/>
          <w:position w:val="0"/>
          <w:sz w:val="22"/>
          <w:shd w:fill="auto" w:val="clear"/>
        </w:rPr>
        <w:tab/>
        <w:tab/>
        <w:tab/>
        <w:t xml:space="preserve">Not applicable</w:t>
        <w:tab/>
        <w:tab/>
        <w:tab/>
        <w:tab/>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Relative Vapor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t xml:space="preserve">Density at 20° C:</w:t>
      </w:r>
      <w:r>
        <w:rPr>
          <w:rFonts w:ascii="Helvetica" w:hAnsi="Helvetica" w:cs="Helvetica" w:eastAsia="Helvetica"/>
          <w:color w:val="auto"/>
          <w:spacing w:val="0"/>
          <w:position w:val="0"/>
          <w:sz w:val="22"/>
          <w:shd w:fill="auto" w:val="clear"/>
        </w:rPr>
        <w:tab/>
        <w:tab/>
        <w:tab/>
        <w:t xml:space="preserve">Not applicable</w:t>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Relative Density:</w:t>
      </w:r>
      <w:r>
        <w:rPr>
          <w:rFonts w:ascii="Helvetica" w:hAnsi="Helvetica" w:cs="Helvetica" w:eastAsia="Helvetica"/>
          <w:color w:val="auto"/>
          <w:spacing w:val="0"/>
          <w:position w:val="0"/>
          <w:sz w:val="22"/>
          <w:shd w:fill="auto" w:val="clear"/>
        </w:rPr>
        <w:tab/>
        <w:tab/>
        <w:tab/>
        <w:t xml:space="preserve">Not applicable</w:t>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Specific Gravity:</w:t>
      </w:r>
      <w:r>
        <w:rPr>
          <w:rFonts w:ascii="Helvetica" w:hAnsi="Helvetica" w:cs="Helvetica" w:eastAsia="Helvetica"/>
          <w:color w:val="auto"/>
          <w:spacing w:val="0"/>
          <w:position w:val="0"/>
          <w:sz w:val="22"/>
          <w:shd w:fill="auto" w:val="clear"/>
        </w:rPr>
        <w:tab/>
        <w:tab/>
        <w:tab/>
        <w:t xml:space="preserve">2.72</w:t>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Solubility:</w:t>
      </w:r>
      <w:r>
        <w:rPr>
          <w:rFonts w:ascii="Helvetica" w:hAnsi="Helvetica" w:cs="Helvetica" w:eastAsia="Helvetica"/>
          <w:color w:val="auto"/>
          <w:spacing w:val="0"/>
          <w:position w:val="0"/>
          <w:sz w:val="22"/>
          <w:shd w:fill="auto" w:val="clear"/>
        </w:rPr>
        <w:tab/>
        <w:tab/>
        <w:tab/>
        <w:tab/>
        <w:t xml:space="preserve">Not applicable</w:t>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Partition Coefficient-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t xml:space="preserve">N-Octanol/Water:</w:t>
      </w:r>
      <w:r>
        <w:rPr>
          <w:rFonts w:ascii="Helvetica" w:hAnsi="Helvetica" w:cs="Helvetica" w:eastAsia="Helvetica"/>
          <w:color w:val="auto"/>
          <w:spacing w:val="0"/>
          <w:position w:val="0"/>
          <w:sz w:val="22"/>
          <w:shd w:fill="auto" w:val="clear"/>
        </w:rPr>
        <w:tab/>
        <w:tab/>
        <w:tab/>
        <w:t xml:space="preserve">Not applicable</w:t>
      </w:r>
      <w:r>
        <w:rPr>
          <w:rFonts w:ascii="Helvetica" w:hAnsi="Helvetica" w:cs="Helvetica" w:eastAsia="Helvetica"/>
          <w:color w:val="auto"/>
          <w:spacing w:val="0"/>
          <w:position w:val="0"/>
          <w:sz w:val="22"/>
          <w:shd w:fill="FFFF00" w:val="clear"/>
        </w:rPr>
        <w:t xml:space="preserve">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Viscosity:</w:t>
      </w:r>
      <w:r>
        <w:rPr>
          <w:rFonts w:ascii="Helvetica" w:hAnsi="Helvetica" w:cs="Helvetica" w:eastAsia="Helvetica"/>
          <w:color w:val="auto"/>
          <w:spacing w:val="0"/>
          <w:position w:val="0"/>
          <w:sz w:val="22"/>
          <w:shd w:fill="auto" w:val="clear"/>
        </w:rPr>
        <w:tab/>
        <w:tab/>
        <w:tab/>
        <w:tab/>
        <w:t xml:space="preserve">Not applicable</w:t>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Other data:</w:t>
      </w:r>
      <w:r>
        <w:rPr>
          <w:rFonts w:ascii="Helvetica" w:hAnsi="Helvetica" w:cs="Helvetica" w:eastAsia="Helvetica"/>
          <w:color w:val="auto"/>
          <w:spacing w:val="0"/>
          <w:position w:val="0"/>
          <w:sz w:val="22"/>
          <w:shd w:fill="auto" w:val="clear"/>
        </w:rPr>
        <w:tab/>
        <w:tab/>
        <w:tab/>
        <w:t xml:space="preserve">None</w:t>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10.1</w:t>
        <w:tab/>
      </w:r>
      <w:r>
        <w:rPr>
          <w:rFonts w:ascii="Helvetica" w:hAnsi="Helvetica" w:cs="Helvetica" w:eastAsia="Helvetica"/>
          <w:b/>
          <w:color w:val="auto"/>
          <w:spacing w:val="0"/>
          <w:position w:val="0"/>
          <w:sz w:val="22"/>
          <w:shd w:fill="auto" w:val="clear"/>
        </w:rPr>
        <w:t xml:space="preserve">Reactivity:</w:t>
      </w:r>
      <w:r>
        <w:rPr>
          <w:rFonts w:ascii="Helvetica" w:hAnsi="Helvetica" w:cs="Helvetica" w:eastAsia="Helvetica"/>
          <w:color w:val="auto"/>
          <w:spacing w:val="0"/>
          <w:position w:val="0"/>
          <w:sz w:val="22"/>
          <w:shd w:fill="auto" w:val="clear"/>
        </w:rPr>
        <w:tab/>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Stable and un-reactive during normal use. </w:t>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10.2</w:t>
        <w:tab/>
      </w:r>
      <w:r>
        <w:rPr>
          <w:rFonts w:ascii="Helvetica" w:hAnsi="Helvetica" w:cs="Helvetica" w:eastAsia="Helvetica"/>
          <w:b/>
          <w:color w:val="auto"/>
          <w:spacing w:val="0"/>
          <w:position w:val="0"/>
          <w:sz w:val="22"/>
          <w:shd w:fill="auto" w:val="clear"/>
        </w:rPr>
        <w:t xml:space="preserve">Chemical Stability:</w:t>
      </w:r>
      <w:r>
        <w:rPr>
          <w:rFonts w:ascii="Helvetica" w:hAnsi="Helvetica" w:cs="Helvetica" w:eastAsia="Helvetica"/>
          <w:color w:val="auto"/>
          <w:spacing w:val="0"/>
          <w:position w:val="0"/>
          <w:sz w:val="22"/>
          <w:shd w:fill="auto" w:val="clear"/>
        </w:rPr>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Not applicable</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10.3</w:t>
        <w:tab/>
      </w:r>
      <w:r>
        <w:rPr>
          <w:rFonts w:ascii="Helvetica" w:hAnsi="Helvetica" w:cs="Helvetica" w:eastAsia="Helvetica"/>
          <w:b/>
          <w:color w:val="auto"/>
          <w:spacing w:val="0"/>
          <w:position w:val="0"/>
          <w:sz w:val="22"/>
          <w:shd w:fill="auto" w:val="clear"/>
        </w:rPr>
        <w:t xml:space="preserve">Possibility of Hazardous Reactions:</w:t>
      </w:r>
      <w:r>
        <w:rPr>
          <w:rFonts w:ascii="Helvetica" w:hAnsi="Helvetica" w:cs="Helvetica" w:eastAsia="Helvetica"/>
          <w:color w:val="auto"/>
          <w:spacing w:val="0"/>
          <w:position w:val="0"/>
          <w:sz w:val="22"/>
          <w:shd w:fill="auto" w:val="clear"/>
        </w:rPr>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color w:val="auto"/>
          <w:spacing w:val="0"/>
          <w:position w:val="0"/>
          <w:sz w:val="22"/>
          <w:u w:val="single"/>
          <w:shd w:fill="auto" w:val="clear"/>
        </w:rPr>
        <w:t xml:space="preserve">This product does not present fire or explosion hazard as shipped.</w:t>
      </w:r>
      <w:r>
        <w:rPr>
          <w:rFonts w:ascii="Helvetica" w:hAnsi="Helvetica" w:cs="Helvetica" w:eastAsia="Helvetica"/>
          <w:color w:val="auto"/>
          <w:spacing w:val="0"/>
          <w:position w:val="0"/>
          <w:sz w:val="22"/>
          <w:shd w:fill="auto" w:val="clear"/>
        </w:rPr>
        <w:t xml:space="preserve"> Small chips, </w:t>
        <w:tab/>
        <w:tab/>
        <w:tab/>
        <w:t xml:space="preserve">turnings, dust and fines from processing may be readily ignitable.</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10.4</w:t>
        <w:tab/>
      </w:r>
      <w:r>
        <w:rPr>
          <w:rFonts w:ascii="Helvetica" w:hAnsi="Helvetica" w:cs="Helvetica" w:eastAsia="Helvetica"/>
          <w:b/>
          <w:color w:val="auto"/>
          <w:spacing w:val="0"/>
          <w:position w:val="0"/>
          <w:sz w:val="22"/>
          <w:shd w:fill="auto" w:val="clear"/>
        </w:rPr>
        <w:t xml:space="preserve">Conditions to Avoid:</w:t>
      </w:r>
      <w:r>
        <w:rPr>
          <w:rFonts w:ascii="Helvetica" w:hAnsi="Helvetica" w:cs="Helvetica" w:eastAsia="Helvetica"/>
          <w:color w:val="auto"/>
          <w:spacing w:val="0"/>
          <w:position w:val="0"/>
          <w:sz w:val="22"/>
          <w:shd w:fill="auto" w:val="clear"/>
        </w:rPr>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Molten metal and water can be an explosive combination. The risk is greatest when </w:t>
        <w:tab/>
        <w:tab/>
        <w:tab/>
        <w:t xml:space="preserve">there is sufficient molten metal to entrap or seal off the water. Water and other forms </w:t>
        <w:tab/>
        <w:tab/>
        <w:tab/>
        <w:t xml:space="preserve">of contamination on or contained in scrap or re-melt ingot are known to have caused </w:t>
        <w:tab/>
        <w:tab/>
        <w:tab/>
        <w:t xml:space="preserve">explosions in melting operations. </w:t>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10.5</w:t>
        <w:tab/>
      </w:r>
      <w:r>
        <w:rPr>
          <w:rFonts w:ascii="Helvetica" w:hAnsi="Helvetica" w:cs="Helvetica" w:eastAsia="Helvetica"/>
          <w:b/>
          <w:color w:val="auto"/>
          <w:spacing w:val="0"/>
          <w:position w:val="0"/>
          <w:sz w:val="22"/>
          <w:shd w:fill="auto" w:val="clear"/>
        </w:rPr>
        <w:t xml:space="preserve">Incompatible Materials:</w:t>
      </w:r>
      <w:r>
        <w:rPr>
          <w:rFonts w:ascii="Helvetica" w:hAnsi="Helvetica" w:cs="Helvetica" w:eastAsia="Helvetica"/>
          <w:color w:val="auto"/>
          <w:spacing w:val="0"/>
          <w:position w:val="0"/>
          <w:sz w:val="22"/>
          <w:shd w:fill="auto" w:val="clear"/>
        </w:rPr>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Not applicable</w:t>
        <w:tab/>
        <w:tab/>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10.6</w:t>
        <w:tab/>
      </w:r>
      <w:r>
        <w:rPr>
          <w:rFonts w:ascii="Helvetica" w:hAnsi="Helvetica" w:cs="Helvetica" w:eastAsia="Helvetica"/>
          <w:b/>
          <w:color w:val="auto"/>
          <w:spacing w:val="0"/>
          <w:position w:val="0"/>
          <w:sz w:val="22"/>
          <w:shd w:fill="auto" w:val="clear"/>
        </w:rPr>
        <w:t xml:space="preserve">Hazardous Decomposition Products:</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r>
      <w:r>
        <w:rPr>
          <w:rFonts w:ascii="Helvetica" w:hAnsi="Helvetica" w:cs="Helvetica" w:eastAsia="Helvetica"/>
          <w:color w:val="auto"/>
          <w:spacing w:val="0"/>
          <w:position w:val="0"/>
          <w:sz w:val="22"/>
          <w:shd w:fill="auto" w:val="clear"/>
        </w:rPr>
        <w:t xml:space="preserve">Not applicable</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11.1</w:t>
        <w:tab/>
      </w:r>
      <w:r>
        <w:rPr>
          <w:rFonts w:ascii="Helvetica" w:hAnsi="Helvetica" w:cs="Helvetica" w:eastAsia="Helvetica"/>
          <w:b/>
          <w:color w:val="auto"/>
          <w:spacing w:val="0"/>
          <w:position w:val="0"/>
          <w:sz w:val="22"/>
          <w:shd w:fill="auto" w:val="clear"/>
        </w:rPr>
        <w:t xml:space="preserve">Acute Toxicity:</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tab/>
      </w:r>
      <w:r>
        <w:rPr>
          <w:rFonts w:ascii="Helvetica" w:hAnsi="Helvetica" w:cs="Helvetica" w:eastAsia="Helvetica"/>
          <w:color w:val="auto"/>
          <w:spacing w:val="0"/>
          <w:position w:val="0"/>
          <w:sz w:val="22"/>
          <w:shd w:fill="auto" w:val="clear"/>
        </w:rPr>
        <w:t xml:space="preserve">Acute overexposure of Antimony and Antimony Trioxide can cause fever, chills, </w:t>
        <w:tab/>
        <w:tab/>
        <w:tab/>
        <w:tab/>
        <w:t xml:space="preserve">shortness of breath and malaise (metal fume fever).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 xml:space="preserve">Acute overexposure of Lead dust of fume can cause nausea and muscle cramps.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 xml:space="preserve">Acute overexposure of Silica, amorphous, can cause dryness of eyes, nose, and </w:t>
        <w:tab/>
        <w:tab/>
        <w:tab/>
        <w:tab/>
        <w:t xml:space="preserve">upper respiratory tract.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 xml:space="preserve">Acute and chronic overexposure of Cobalt can cause respiratory sensitization, </w:t>
        <w:tab/>
        <w:tab/>
        <w:tab/>
        <w:tab/>
        <w:t xml:space="preserve">asthma, scarring of the lungs (pulmonary fibrosis) and damage to the heart muscle </w:t>
        <w:tab/>
        <w:tab/>
        <w:tab/>
        <w:t xml:space="preserve">(cardiomyopathy).</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Skin Corrosion/Irritation:</w:t>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tab/>
      </w:r>
      <w:r>
        <w:rPr>
          <w:rFonts w:ascii="Helvetica" w:hAnsi="Helvetica" w:cs="Helvetica" w:eastAsia="Helvetica"/>
          <w:color w:val="auto"/>
          <w:spacing w:val="0"/>
          <w:position w:val="0"/>
          <w:sz w:val="22"/>
          <w:shd w:fill="auto" w:val="clear"/>
        </w:rPr>
        <w:t xml:space="preserve">Aluminum dust, Titanium dioxide, Cobalt, Antimony, Antimony Trioxide, Nickel </w:t>
        <w:tab/>
        <w:tab/>
        <w:tab/>
        <w:tab/>
        <w:t xml:space="preserve">dust &amp; </w:t>
        <w:tab/>
        <w:t xml:space="preserve">fumes, Chromium dust, Hexavalent </w:t>
        <w:tab/>
        <w:t xml:space="preserve">Chromium, Carbon Black, and Lead </w:t>
        <w:tab/>
        <w:tab/>
        <w:tab/>
        <w:tab/>
        <w:t xml:space="preserve">dust can cause irritation.</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 xml:space="preserve">Cobalt skin contact can cause allergic reactions.</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 xml:space="preserve">Eye contact of Nickel dust and fumes can cause inflammation of the eyes and </w:t>
        <w:tab/>
        <w:tab/>
        <w:tab/>
        <w:tab/>
        <w:t xml:space="preserve">eyelids (conjunctivitis).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 xml:space="preserve">Hexavalent Chromium can cause irritant dermatitis, allergic reactions and skin </w:t>
        <w:tab/>
        <w:tab/>
        <w:tab/>
        <w:tab/>
        <w:t xml:space="preserve">ulcers.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t xml:space="preserve">pH: </w:t>
      </w:r>
      <w:r>
        <w:rPr>
          <w:rFonts w:ascii="Helvetica" w:hAnsi="Helvetica" w:cs="Helvetica" w:eastAsia="Helvetica"/>
          <w:color w:val="auto"/>
          <w:spacing w:val="0"/>
          <w:position w:val="0"/>
          <w:sz w:val="22"/>
          <w:shd w:fill="auto" w:val="clear"/>
        </w:rPr>
        <w:t xml:space="preserve">Neutral</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Respiratory or Skin Sensitization:</w:t>
      </w:r>
      <w:r>
        <w:rPr>
          <w:rFonts w:ascii="Helvetica" w:hAnsi="Helvetica" w:cs="Helvetica" w:eastAsia="Helvetica"/>
          <w:color w:val="auto"/>
          <w:spacing w:val="0"/>
          <w:position w:val="0"/>
          <w:sz w:val="22"/>
          <w:shd w:fill="auto" w:val="clear"/>
        </w:rPr>
        <w:tab/>
        <w:tab/>
        <w:tab/>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ab/>
        <w:tab/>
        <w:t xml:space="preserve">Aluminum dust, Titanium dioxide, Cobalt, Antimony, Antimony Trioxide, Nickel </w:t>
        <w:tab/>
        <w:tab/>
        <w:tab/>
        <w:tab/>
        <w:t xml:space="preserve">dust &amp; </w:t>
        <w:tab/>
        <w:t xml:space="preserve">fumes, Chromium dust, Hexavalent </w:t>
        <w:tab/>
        <w:t xml:space="preserve">Chromium, Carbon Black, and Lead </w:t>
        <w:tab/>
        <w:tab/>
        <w:tab/>
        <w:tab/>
        <w:t xml:space="preserve">dust can cause irritation.</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 xml:space="preserve">Skin contact of Nickel dust and fumes can cause sensitization and allergic contact </w:t>
        <w:tab/>
        <w:tab/>
        <w:tab/>
        <w:t xml:space="preserve">dermatitis. </w:t>
        <w:tab/>
        <w:tab/>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Germ Cell Mutagenicity:</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 xml:space="preserve">Chronic overexposure of Manganese dust of fumes can cause reproductive harm </w:t>
        <w:tab/>
        <w:tab/>
        <w:tab/>
        <w:t xml:space="preserve">in males.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 xml:space="preserve">Chronic overexposure to Lead dust of fume can cause reduced fertility and fetal </w:t>
        <w:tab/>
        <w:tab/>
        <w:tab/>
        <w:tab/>
        <w:t xml:space="preserve">toxicity in pregnant women. </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Carcinogenicity:</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tab/>
      </w:r>
      <w:r>
        <w:rPr>
          <w:rFonts w:ascii="Helvetica" w:hAnsi="Helvetica" w:cs="Helvetica" w:eastAsia="Helvetica"/>
          <w:color w:val="auto"/>
          <w:spacing w:val="0"/>
          <w:position w:val="0"/>
          <w:sz w:val="22"/>
          <w:shd w:fill="auto" w:val="clear"/>
        </w:rPr>
        <w:t xml:space="preserve">Nickel compounds are associated with lung cancer, cancer of the vocal cords and </w:t>
        <w:tab/>
        <w:tab/>
        <w:tab/>
        <w:t xml:space="preserve">nasal cancer.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 xml:space="preserve">Chronic overexposure of Hexavalent Chromium can cause lung cancer, nasal </w:t>
        <w:tab/>
        <w:tab/>
        <w:tab/>
        <w:tab/>
        <w:t xml:space="preserve">cancer and cancer of the gastrointestinal tract. </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Reproductive Toxicity:</w:t>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tab/>
      </w:r>
      <w:r>
        <w:rPr>
          <w:rFonts w:ascii="Helvetica" w:hAnsi="Helvetica" w:cs="Helvetica" w:eastAsia="Helvetica"/>
          <w:color w:val="auto"/>
          <w:spacing w:val="0"/>
          <w:position w:val="0"/>
          <w:sz w:val="22"/>
          <w:shd w:fill="auto" w:val="clear"/>
        </w:rPr>
        <w:t xml:space="preserve">Chronic overexposure of Manganese dust of fumes can cause reproductive harm </w:t>
        <w:tab/>
        <w:tab/>
        <w:tab/>
        <w:t xml:space="preserve">in males.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 xml:space="preserve">Chronic overexposure to Lead dust of fume can cause reduced fertility and fetal </w:t>
        <w:tab/>
        <w:tab/>
        <w:tab/>
        <w:tab/>
        <w:t xml:space="preserve">toxicity in pregnant women. </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Specific Target Organ Toxicity (Single Exposure):</w:t>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tab/>
      </w:r>
      <w:r>
        <w:rPr>
          <w:rFonts w:ascii="Helvetica" w:hAnsi="Helvetica" w:cs="Helvetica" w:eastAsia="Helvetica"/>
          <w:color w:val="auto"/>
          <w:spacing w:val="0"/>
          <w:position w:val="0"/>
          <w:sz w:val="22"/>
          <w:shd w:fill="auto" w:val="clear"/>
        </w:rPr>
        <w:t xml:space="preserve">Acute overexposure of Antimony and Antimony Trioxide can cause fever, chills, </w:t>
        <w:tab/>
        <w:tab/>
        <w:tab/>
        <w:tab/>
        <w:t xml:space="preserve">shortness of breath and malaise (metal fume fever).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 xml:space="preserve">Acute overexposure of Lead dust of fume can cause nausea and muscle cramps.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 xml:space="preserve">Acute overexposure of Silica, amorphous, can cause dryness of eyes, nose, and </w:t>
        <w:tab/>
        <w:tab/>
        <w:tab/>
        <w:tab/>
        <w:t xml:space="preserve">upper respiratory tract. </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Specific Target Organ Toxicity (Repeated Exposure): </w:t>
        <w:tab/>
        <w:tab/>
      </w:r>
    </w:p>
    <w:p>
      <w:pPr>
        <w:tabs>
          <w:tab w:val="left" w:pos="360" w:leader="none"/>
          <w:tab w:val="left" w:pos="1080" w:leader="none"/>
        </w:tabs>
        <w:spacing w:before="0" w:after="0" w:line="240"/>
        <w:ind w:right="0" w:left="144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Chronic overexposure of Manganese dust of fumes can cause inflammation of the lung tissue, scarring of the lungs (pulmonary fibrosis), central nervous system damage, secondary Parkinson’s disease &amp; reproductive harm in males. Chronic overexposure of Titanium dioxide can cause chronic bronchitis.</w:t>
      </w:r>
    </w:p>
    <w:p>
      <w:pPr>
        <w:tabs>
          <w:tab w:val="left" w:pos="360" w:leader="none"/>
          <w:tab w:val="left" w:pos="1080" w:leader="none"/>
        </w:tabs>
        <w:spacing w:before="0" w:after="0" w:line="240"/>
        <w:ind w:right="0" w:left="144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Acute and chronic overexposure of Cobalt can cause respiratory sensitization, asthma, scarring of the lungs (pulmonary fibrosis) and damage to the heart muscle (cardiomyopathy).</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 xml:space="preserve">Chronic overexposure of Antimony and Antimony Trioxide can cause dermatitis, </w:t>
        <w:tab/>
        <w:tab/>
        <w:tab/>
        <w:tab/>
        <w:t xml:space="preserve">ulcers in the mouth, chemical pneumonia, lung damage, liver damage and kidney </w:t>
        <w:tab/>
        <w:tab/>
        <w:tab/>
        <w:t xml:space="preserve">damage. </w:t>
      </w:r>
    </w:p>
    <w:p>
      <w:pPr>
        <w:tabs>
          <w:tab w:val="left" w:pos="360" w:leader="none"/>
          <w:tab w:val="left" w:pos="1080" w:leader="none"/>
        </w:tabs>
        <w:spacing w:before="0" w:after="0" w:line="240"/>
        <w:ind w:right="0" w:left="144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Chronic overexposure of Nickel dust and fumes can cause perforation of the nasal septum, inflammation of the nasal passages (sinusitis), respiratory sensitization, asthma and scarring of the lungs (pulmonary fibrosis). </w:t>
      </w:r>
    </w:p>
    <w:p>
      <w:pPr>
        <w:tabs>
          <w:tab w:val="left" w:pos="360" w:leader="none"/>
          <w:tab w:val="left" w:pos="1080" w:leader="none"/>
        </w:tabs>
        <w:spacing w:before="0" w:after="0" w:line="240"/>
        <w:ind w:right="0" w:left="144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Chronic overexposure of Hexavalent Chromium can cause perforation of the nasal septum, respiratory sensitization, asthma, fluid in the lungs (pulmonary edema), lung damage, and kidney damage.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 xml:space="preserve">Chronic overexposure of Carbon Black can cause chronic bronchitis and lung </w:t>
        <w:tab/>
        <w:tab/>
        <w:tab/>
        <w:tab/>
        <w:t xml:space="preserve">disease.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144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Chronic overexposure of Lead dust of fume can cause weakness in the extremities (peripheral neuropathy), abdominal cramps, and other gastrointestinal tract effects, kidney damage, liver damage, central nervous system damage, damage to blood forming organs, and blood cell damage.</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After Ingestion:</w:t>
        <w:tab/>
        <w:tab/>
        <w:tab/>
        <w:tab/>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ab/>
        <w:tab/>
        <w:tab/>
      </w:r>
      <w:r>
        <w:rPr>
          <w:rFonts w:ascii="Helvetica" w:hAnsi="Helvetica" w:cs="Helvetica" w:eastAsia="Helvetica"/>
          <w:color w:val="auto"/>
          <w:spacing w:val="0"/>
          <w:position w:val="0"/>
          <w:sz w:val="22"/>
          <w:shd w:fill="auto" w:val="clear"/>
        </w:rPr>
        <w:t xml:space="preserve">Ingestion of Antimony and Antimony Trioxide can cause abdominal cramps, </w:t>
        <w:tab/>
        <w:tab/>
        <w:tab/>
        <w:tab/>
        <w:t xml:space="preserve">diarrhea, dizziness, abnormal heart rhythm (arrhythmia) and death.</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12.1</w:t>
        <w:tab/>
        <w:t xml:space="preserve">No information at this time.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13.1</w:t>
        <w:tab/>
      </w:r>
      <w:r>
        <w:rPr>
          <w:rFonts w:ascii="Helvetica" w:hAnsi="Helvetica" w:cs="Helvetica" w:eastAsia="Helvetica"/>
          <w:b/>
          <w:color w:val="auto"/>
          <w:spacing w:val="0"/>
          <w:position w:val="0"/>
          <w:sz w:val="22"/>
          <w:shd w:fill="auto" w:val="clear"/>
        </w:rPr>
        <w:t xml:space="preserve">Waste Disposal Recommendations:</w:t>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tab/>
      </w:r>
      <w:r>
        <w:rPr>
          <w:rFonts w:ascii="Helvetica" w:hAnsi="Helvetica" w:cs="Helvetica" w:eastAsia="Helvetica"/>
          <w:color w:val="auto"/>
          <w:spacing w:val="0"/>
          <w:position w:val="0"/>
          <w:sz w:val="22"/>
          <w:shd w:fill="auto" w:val="clear"/>
        </w:rPr>
        <w:t xml:space="preserve">Collect and reclaim or dispose of at a licensed waste disposal site. </w:t>
        <w:tab/>
        <w:tab/>
        <w:tab/>
        <w:tab/>
        <w:tab/>
        <w:t xml:space="preserve">Dispose of in accordance with all applicable regulations. </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ab/>
        <w:tab/>
        <w:t xml:space="preserve">Additional Information:</w:t>
        <w:tab/>
        <w:tab/>
        <w:tab/>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ab/>
        <w:tab/>
        <w:tab/>
      </w:r>
      <w:r>
        <w:rPr>
          <w:rFonts w:ascii="Helvetica" w:hAnsi="Helvetica" w:cs="Helvetica" w:eastAsia="Helvetica"/>
          <w:color w:val="auto"/>
          <w:spacing w:val="0"/>
          <w:position w:val="0"/>
          <w:sz w:val="22"/>
          <w:shd w:fill="auto" w:val="clear"/>
        </w:rPr>
        <w:t xml:space="preserve">Dispose of contaminated materials in accordance with local regulations.</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ab/>
        <w:tab/>
        <w:t xml:space="preserve">Ecology- Waste Materials:</w:t>
        <w:tab/>
        <w:tab/>
      </w:r>
    </w:p>
    <w:p>
      <w:pPr>
        <w:tabs>
          <w:tab w:val="left" w:pos="360" w:leader="none"/>
          <w:tab w:val="left" w:pos="1080" w:leader="none"/>
        </w:tabs>
        <w:spacing w:before="0" w:after="0" w:line="240"/>
        <w:ind w:right="0" w:left="144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Empty containers should be taken to an approved waste handling site for recycling or disposal.</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0"/>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0"/>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14.1</w:t>
        <w:tab/>
        <w:t xml:space="preserve">No information at this time.</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0"/>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15.1</w:t>
        <w:tab/>
      </w:r>
      <w:r>
        <w:rPr>
          <w:rFonts w:ascii="Helvetica" w:hAnsi="Helvetica" w:cs="Helvetica" w:eastAsia="Helvetica"/>
          <w:b/>
          <w:color w:val="auto"/>
          <w:spacing w:val="0"/>
          <w:position w:val="0"/>
          <w:sz w:val="22"/>
          <w:shd w:fill="auto" w:val="clear"/>
        </w:rPr>
        <w:t xml:space="preserve">Safety, Health &amp; Environmental Regulations:</w:t>
      </w:r>
      <w:r>
        <w:rPr>
          <w:rFonts w:ascii="Helvetica" w:hAnsi="Helvetica" w:cs="Helvetica" w:eastAsia="Helvetica"/>
          <w:color w:val="auto"/>
          <w:spacing w:val="0"/>
          <w:position w:val="0"/>
          <w:sz w:val="22"/>
          <w:shd w:fill="auto" w:val="clear"/>
        </w:rPr>
        <w:tab/>
        <w:tab/>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This product may be regulated, have exposure limits or other information identified as </w:t>
        <w:tab/>
        <w:tab/>
        <w:t xml:space="preserve">the following: Cobalt; Nickel, inorganic compounds, insoluble; Nickel, insoluble </w:t>
        <w:tab/>
        <w:tab/>
        <w:tab/>
        <w:t xml:space="preserve">compounds; Chromium (III) compound; Chromium (VI) compounds (certain water </w:t>
        <w:tab/>
        <w:tab/>
        <w:tab/>
        <w:t xml:space="preserve">insoluble forms); Chromium (VI) compounds, water soluble; Chromates; Antimony; </w:t>
        <w:tab/>
        <w:tab/>
        <w:tab/>
        <w:t xml:space="preserve">Lead Chromate; Silica fume (amorphous); Manganese compounds, n.o.s.</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0"/>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16.1</w:t>
        <w:tab/>
        <w:t xml:space="preserve">This document has been prepared in accordance with the SDS requirements of the </w:t>
        <w:tab/>
        <w:tab/>
        <w:tab/>
        <w:t xml:space="preserve">OSHA Hazard Communication Standard 29 CFR 1910.1200</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Date of Preparation:</w:t>
      </w:r>
      <w:r>
        <w:rPr>
          <w:rFonts w:ascii="Helvetica" w:hAnsi="Helvetica" w:cs="Helvetica" w:eastAsia="Helvetica"/>
          <w:color w:val="auto"/>
          <w:spacing w:val="0"/>
          <w:position w:val="0"/>
          <w:sz w:val="22"/>
          <w:shd w:fill="auto" w:val="clear"/>
        </w:rPr>
        <w:t xml:space="preserve"> </w:t>
        <w:tab/>
        <w:tab/>
      </w:r>
      <w:r>
        <w:rPr>
          <w:rFonts w:ascii="Helvetica" w:hAnsi="Helvetica" w:cs="Helvetica" w:eastAsia="Helvetica"/>
          <w:b/>
          <w:color w:val="auto"/>
          <w:spacing w:val="0"/>
          <w:position w:val="0"/>
          <w:sz w:val="22"/>
          <w:shd w:fill="auto" w:val="clear"/>
        </w:rPr>
        <w:t xml:space="preserve">December 2019</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3">
    <w:abstractNumId w:val="24"/>
  </w:num>
  <w:num w:numId="5">
    <w:abstractNumId w:val="18"/>
  </w:num>
  <w:num w:numId="7">
    <w:abstractNumId w:val="12"/>
  </w:num>
  <w:num w:numId="9">
    <w:abstractNumId w:val="6"/>
  </w:num>
  <w:num w:numId="1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