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SECTION 07 42 43</w:t>
      </w:r>
    </w:p>
    <w:p>
      <w:pPr>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COMPOSITE WALL PANELS</w:t>
      </w:r>
    </w:p>
    <w:p>
      <w:pPr>
        <w:keepNext w:val="true"/>
        <w:keepLines w:val="true"/>
        <w:numPr>
          <w:ilvl w:val="0"/>
          <w:numId w:val="2"/>
        </w:numPr>
        <w:tabs>
          <w:tab w:val="left" w:pos="1440" w:leader="none"/>
        </w:tabs>
        <w:spacing w:before="0" w:after="0" w:line="240"/>
        <w:ind w:right="0" w:left="7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1  </w:t>
        <w:tab/>
        <w:t xml:space="preserve">GENERAL</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SECTION INCLUDES </w:t>
      </w:r>
    </w:p>
    <w:p>
      <w:pPr>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Supply and install rain screen aluminum composite material (“ACM”) architectural wall panels with snap-lock tab-over attachment system and accessories as required, to form a rain screen panel wall system over</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[a framed and sheathed substrate] [concrete] [with girts over concrete].</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related REQUIREMENTS </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03 30 00 - Cast-In-Place Concrete]</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10 00 - Structural Steel Framing]</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41 00 - Structural Metal Stud Framing]</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06 10 00 - Rough Carpentry]</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21 13 - Board Insulation]</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25 13 - Modified Bituminous Air and Vapor Retarders]</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62 00 - Sheet Metal Flashing and Trim] </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92 00 - Joint Sealants]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References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Association, Inc. (AAI), Current edition</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DAF-45, Designation System for Aluminum Finishes.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Architectural Manufacturers Association (AAMA), Current editions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508 - Voluntary Test Method and Specification for Pressure Equalized Rain Screen Wall Cladding Systems.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2605 - Specification for Performance Requirements and Test Procedures for Superior Performing Organic Coatings on Aluminum Extrusions and Panels.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International (ASTM), Current editions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B117 - Standard Practice for Operating Salt Spray (Fog) Apparatus.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B221 - Standard Specification for Aluminum and Aluminum-Alloy Extruded Bars, Rods, Wire, Profiles, and Tubes.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D523 - Standard Test Method for Specular Gloss.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D696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Coefficient of Linear Thermal Expansion of Plastics Between -30</w:t>
      </w:r>
      <w:r>
        <w:rPr>
          <w:rFonts w:ascii="Arial" w:hAnsi="Arial" w:cs="Arial" w:eastAsia="Arial"/>
          <w:color w:val="auto"/>
          <w:spacing w:val="0"/>
          <w:position w:val="0"/>
          <w:sz w:val="20"/>
          <w:shd w:fill="auto" w:val="clear"/>
        </w:rPr>
        <w:t xml:space="preserve">°C and 30°C with a Vitreous Silica.</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D714 - Standard Test Method for Evaluating Degree of Blistering of Paints.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D903 - Standard Test Method for Peel or Stripping Strength of Adhesive Bonds.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D968 - Standard Test Methods for Abrasion Resistance of Organic Coatings by Falling Abrasive.</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D1308 - Standard Test Method for Effect of Household Chemicals on Clear and Pigmented Organic Finishes.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D2244 - Standard Practice for Calculation of Color Tolerances and Color Differences from Instrumentally Measured Color Coordinates.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D2248 - Standard Practice for Detergent Resistance of Organic Finishes.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D2794 - Standard Test Method for Resistance of Organic Coatings to the Effects of Rapid Deformation (Impact).</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D3359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Methods for Rating Adhesion by Tape Test. </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D3363 - Standard Test Method for Film Hardness by Pencil Test.</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D4145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Coating Flexibility of Prepainted Sheet. </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D4214 - Standard Test Methods for Evaluating the Degree of Chalking of Exterior Paint Films.</w:t>
      </w:r>
    </w:p>
    <w:p>
      <w:pPr>
        <w:keepLines w:val="true"/>
        <w:numPr>
          <w:ilvl w:val="0"/>
          <w:numId w:val="2"/>
        </w:numPr>
        <w:spacing w:before="60" w:after="0" w:line="240"/>
        <w:ind w:right="0" w:left="2160" w:hanging="72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ASTM E84 - Test Method for Surface Burning Characteristics of Building Materials.</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ASTM E330/E330M - Standard Test Method for Structural Performance of Exterior Windows, Doors, Skylights and Curtain Walls by Uniform Static Air Pressure Difference.</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E331 - Standard Test Method for Water Penetration of Exterior Windows, Skylights, Doors, and Curtain Walls by Uniform Static Air Pressure Difference.</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E1288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The Durability of Biomass Pellets.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International Organization for Standardization (ISO), Current edition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 2360 - Non-conductive coatings on non-magnetic electrically conductive basis materials - Measurement of coating thickness - Amplitude-sensitive eddy-current method.</w:t>
      </w:r>
    </w:p>
    <w:p>
      <w:pPr>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National Fire Protection Association (NFPA), Current edition</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NFPA 285 - Standard Test Method for Evaluation of Fire Propagation Characteristics of Exterior Non-Load-Bearing Wall Assemblies Containing Combustible Components.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 Green Building Council (USGBC), Current edition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 for Building Design and Construction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V4.1 for Building Design and Construction</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system description </w:t>
      </w:r>
    </w:p>
    <w:p>
      <w:pPr>
        <w:keepNext w:val="true"/>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Architectural panel system comprised as follows: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Aluminum-faced </w:t>
      </w:r>
      <w:r>
        <w:rPr>
          <w:rFonts w:ascii="Arial" w:hAnsi="Arial" w:cs="Arial" w:eastAsia="Arial"/>
          <w:color w:val="FF0000"/>
          <w:spacing w:val="0"/>
          <w:position w:val="0"/>
          <w:sz w:val="20"/>
          <w:shd w:fill="auto" w:val="clear"/>
        </w:rPr>
        <w:t xml:space="preserve">[polyethylene core] [fire-rated mineral core] </w:t>
      </w:r>
      <w:r>
        <w:rPr>
          <w:rFonts w:ascii="Arial" w:hAnsi="Arial" w:cs="Arial" w:eastAsia="Arial"/>
          <w:color w:val="auto"/>
          <w:spacing w:val="0"/>
          <w:position w:val="0"/>
          <w:sz w:val="20"/>
          <w:shd w:fill="auto" w:val="clear"/>
        </w:rPr>
        <w:t xml:space="preserve">panels with high performance fluorocarbon finish coating.</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Extruded aluminum panel frame and perimeter frame assembly, including back plates, top caps, inside and outside corner frames, and end frames.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Fiberglass reinforced plastic (“FRP”) system clips.</w:t>
      </w:r>
    </w:p>
    <w:p>
      <w:pPr>
        <w:keepLines w:val="true"/>
        <w:numPr>
          <w:ilvl w:val="0"/>
          <w:numId w:val="2"/>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[OPTIONAL- Adhesive tape for permanent adhesion of I-beam stiffeners to the back side of the ACM panel to reduce deflection.]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Extruded aluminum snap-lock top cap with </w:t>
      </w:r>
      <w:r>
        <w:rPr>
          <w:rFonts w:ascii="Arial" w:hAnsi="Arial" w:cs="Arial" w:eastAsia="Arial"/>
          <w:color w:val="000000"/>
          <w:spacing w:val="0"/>
          <w:position w:val="0"/>
          <w:sz w:val="20"/>
          <w:shd w:fill="auto" w:val="clear"/>
        </w:rPr>
        <w:t xml:space="preserve">high performance fluorocarbon </w:t>
      </w:r>
      <w:r>
        <w:rPr>
          <w:rFonts w:ascii="Arial" w:hAnsi="Arial" w:cs="Arial" w:eastAsia="Arial"/>
          <w:color w:val="auto"/>
          <w:spacing w:val="0"/>
          <w:position w:val="0"/>
          <w:sz w:val="20"/>
          <w:shd w:fill="auto" w:val="clear"/>
        </w:rPr>
        <w:t xml:space="preserve">finish for final attachment of panels to frame assembly.</w:t>
      </w:r>
    </w:p>
    <w:p>
      <w:pPr>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Requirements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Structural Design:  Composite wall panel system capable of withstanding dead loads, wind loads, snow loads and normal thermal movement without evidence of buckling, oil canning or other permanent deformation of assemblies or components.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Dead Load, as required by applicable building code: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 </w:t>
      </w:r>
      <w:r>
        <w:rPr>
          <w:rFonts w:ascii="Arial" w:hAnsi="Arial" w:cs="Arial" w:eastAsia="Arial"/>
          <w:color w:val="FF0000"/>
          <w:spacing w:val="0"/>
          <w:position w:val="0"/>
          <w:sz w:val="20"/>
          <w:shd w:fill="auto" w:val="clear"/>
        </w:rPr>
        <w:t xml:space="preserve">[___] </w:t>
      </w:r>
      <w:r>
        <w:rPr>
          <w:rFonts w:ascii="Arial" w:hAnsi="Arial" w:cs="Arial" w:eastAsia="Arial"/>
          <w:color w:val="auto"/>
          <w:spacing w:val="0"/>
          <w:position w:val="0"/>
          <w:sz w:val="20"/>
          <w:shd w:fill="auto" w:val="clear"/>
        </w:rPr>
        <w:t xml:space="preserve">psf (</w:t>
      </w:r>
      <w:r>
        <w:rPr>
          <w:rFonts w:ascii="Arial" w:hAnsi="Arial" w:cs="Arial" w:eastAsia="Arial"/>
          <w:color w:val="FF0000"/>
          <w:spacing w:val="0"/>
          <w:position w:val="0"/>
          <w:sz w:val="20"/>
          <w:shd w:fill="auto" w:val="clear"/>
        </w:rPr>
        <w:t xml:space="preserve">[___] </w:t>
      </w:r>
      <w:r>
        <w:rPr>
          <w:rFonts w:ascii="Arial" w:hAnsi="Arial" w:cs="Arial" w:eastAsia="Arial"/>
          <w:color w:val="auto"/>
          <w:spacing w:val="0"/>
          <w:position w:val="0"/>
          <w:sz w:val="20"/>
          <w:shd w:fill="auto" w:val="clear"/>
        </w:rPr>
        <w:t xml:space="preserve">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psf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kPa)</w:t>
      </w:r>
    </w:p>
    <w:p>
      <w:pPr>
        <w:keepLines w:val="true"/>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Live Load, as required by applicable building code: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w:t>
      </w:r>
      <w:r>
        <w:rPr>
          <w:rFonts w:ascii="Arial" w:hAnsi="Arial" w:cs="Arial" w:eastAsia="Arial"/>
          <w:color w:val="FF0000"/>
          <w:spacing w:val="0"/>
          <w:position w:val="0"/>
          <w:sz w:val="20"/>
          <w:shd w:fill="auto" w:val="clear"/>
        </w:rPr>
        <w:t xml:space="preserve"> [___] </w:t>
      </w:r>
      <w:r>
        <w:rPr>
          <w:rFonts w:ascii="Arial" w:hAnsi="Arial" w:cs="Arial" w:eastAsia="Arial"/>
          <w:color w:val="auto"/>
          <w:spacing w:val="0"/>
          <w:position w:val="0"/>
          <w:sz w:val="20"/>
          <w:shd w:fill="auto" w:val="clear"/>
        </w:rPr>
        <w:t xml:space="preserve">psf </w:t>
      </w:r>
      <w:r>
        <w:rPr>
          <w:rFonts w:ascii="Arial" w:hAnsi="Arial" w:cs="Arial" w:eastAsia="Arial"/>
          <w:color w:val="000000"/>
          <w:spacing w:val="0"/>
          <w:position w:val="0"/>
          <w:sz w:val="20"/>
          <w:shd w:fill="auto" w:val="clear"/>
        </w:rPr>
        <w:t xml:space="preserve">(</w:t>
      </w:r>
      <w:r>
        <w:rPr>
          <w:rFonts w:ascii="Arial" w:hAnsi="Arial" w:cs="Arial" w:eastAsia="Arial"/>
          <w:color w:val="FF0000"/>
          <w:spacing w:val="0"/>
          <w:position w:val="0"/>
          <w:sz w:val="20"/>
          <w:shd w:fill="auto" w:val="clear"/>
        </w:rPr>
        <w:t xml:space="preserve">[___] </w:t>
      </w:r>
      <w:r>
        <w:rPr>
          <w:rFonts w:ascii="Arial" w:hAnsi="Arial" w:cs="Arial" w:eastAsia="Arial"/>
          <w:color w:val="auto"/>
          <w:spacing w:val="0"/>
          <w:position w:val="0"/>
          <w:sz w:val="20"/>
          <w:shd w:fill="auto" w:val="clear"/>
        </w:rPr>
        <w:t xml:space="preserve">kPa)</w:t>
      </w:r>
    </w:p>
    <w:p>
      <w:pPr>
        <w:keepLines w:val="true"/>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Wind Load Inward: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w:t>
      </w:r>
      <w:r>
        <w:rPr>
          <w:rFonts w:ascii="Arial" w:hAnsi="Arial" w:cs="Arial" w:eastAsia="Arial"/>
          <w:color w:val="FF0000"/>
          <w:spacing w:val="0"/>
          <w:position w:val="0"/>
          <w:sz w:val="20"/>
          <w:shd w:fill="auto" w:val="clear"/>
        </w:rPr>
        <w:t xml:space="preserve"> [___]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kPa)</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General Panel Properties: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Thermal Expansion: ASTM D696, 2.4x10</w:t>
      </w:r>
      <w:r>
        <w:rPr>
          <w:rFonts w:ascii="Arial" w:hAnsi="Arial" w:cs="Arial" w:eastAsia="Arial"/>
          <w:color w:val="auto"/>
          <w:spacing w:val="0"/>
          <w:position w:val="0"/>
          <w:sz w:val="20"/>
          <w:shd w:fill="auto" w:val="clear"/>
          <w:vertAlign w:val="superscript"/>
        </w:rPr>
        <w:t xml:space="preserve">-5</w:t>
      </w:r>
      <w:r>
        <w:rPr>
          <w:rFonts w:ascii="Arial" w:hAnsi="Arial" w:cs="Arial" w:eastAsia="Arial"/>
          <w:color w:val="auto"/>
          <w:spacing w:val="0"/>
          <w:position w:val="0"/>
          <w:sz w:val="20"/>
          <w:shd w:fill="auto" w:val="clear"/>
        </w:rPr>
        <w:t xml:space="preserve"> per degree C</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Propagation: ASTM E84</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Polyurethane Core to ASTM E84</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tab/>
        <w:t xml:space="preserve">Smoke Developed = 5</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tab/>
        <w:t xml:space="preserve">Flame Spread = 20</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Rated Core to ASTM E84</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tab/>
        <w:t xml:space="preserve">Smoke Developed = 30</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w:t>
        <w:tab/>
        <w:t xml:space="preserve">Flame Spread = 0</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Wind-Pressure Resistance: ASTM E330: Tested. See Technical Data Sheet (Wind Loads).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Pressure Cycling: ASTM E1288: Passed 100 cycles.</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High Performance Fluorocarbon Finish Coating:</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Minimum Thickness - ISO 2360:  27 micrometers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 ASTM D523: 20-45%</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Pencil Hardness - ASTM D3363:  2H</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Toughness - ASTM D4145: 2T no rift</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Adhesive Force - ASTM D3359: 4B</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Impact Resistance - ASTM D2794:  &gt;100 kg.cm</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Abrasion Resistance - ASTM D968:  64.6 L/mil</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Mortar Resistance - AAMA 2605.2: 24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Humidity Resistance - ASTM D714: 3000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Boiling Water Resistance - ASTM D3359: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Salt-Spray Resistance - ASTM B117: 3000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Acid Resistance - ASTM D1308: No effect</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Alkali Resistance - ASTM D1308: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Solvent Resistance - ASTM D2248: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Retention - ASTM D2244:  Delta E = 0.34</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 Resistance - ASTM D4214:  No chalking</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D2244:  &gt;80 percent</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LEED CREDIT CONTRIBUTIONS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LEED project and submittal requirements with Section 01 35 11 - LEED Requirements.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Action Submittals / information submittals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Submittals: Coordinate LEED submittal requirements with Section 01 35 11 - LEED Requirements.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 Data: Submit manufacturer's product data, standard drawing details, installation instructions and Material Safety Data Sheets (MSDS) for system and individual components.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shop drawings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Indicate layout, profiles and product components including anchorage, accessories, finish colors and textures.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Include details showing thickness and dimensions of the various system parts, fastening and anchoring methods, locations of joints and gaskets and location and configuration of movement joints.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Include references for wind load requirements.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Charts:  Submit panel manufacturer’s color charts showing full range of standard colors and finishes.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Close-out Submittals:  Upon project completion, submit manufacturer’s warranties, including limitations and conditions. Coordinate LEED Close-out Submittal requirements with Section 01 35 11  LEED Requirements.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Warranties: Submit manufacturer’s product warranties.</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Quality Assurance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requirements with Section 01 45 00 - Quality Control.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 Reports: certified test reports showing compliance with specified performance characteristics and physical properties.</w:t>
      </w:r>
    </w:p>
    <w:p>
      <w:pPr>
        <w:keepLines w:val="true"/>
        <w:spacing w:before="0" w:after="200" w:line="276"/>
        <w:ind w:right="0" w:left="720" w:firstLine="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50"/>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Participants: General Contractor, installation subcontractor, </w:t>
      </w:r>
      <w:r>
        <w:rPr>
          <w:rFonts w:ascii="Arial" w:hAnsi="Arial" w:cs="Arial" w:eastAsia="Arial"/>
          <w:color w:val="FF0000"/>
          <w:spacing w:val="0"/>
          <w:position w:val="0"/>
          <w:sz w:val="20"/>
          <w:shd w:fill="auto" w:val="clear"/>
        </w:rPr>
        <w:t xml:space="preserve">[Construction Manager,] [Owner,] [Consultant], [Architect,] and [Engineer].</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wall framing for potential interference and conflicts; coordinate layout and support provisions for interfacing work.</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construction schedule and confirm availability of products, installation personnel, equipment and facilities.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regulatory, insurance and certification requirements.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field quality control procedures.</w:t>
      </w:r>
    </w:p>
    <w:p>
      <w:pPr>
        <w:keepLines w:val="true"/>
        <w:numPr>
          <w:ilvl w:val="0"/>
          <w:numId w:val="50"/>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Mock-Ups:  Mock up complete system at location as directed by </w:t>
      </w:r>
      <w:r>
        <w:rPr>
          <w:rFonts w:ascii="Arial" w:hAnsi="Arial" w:cs="Arial" w:eastAsia="Arial"/>
          <w:color w:val="FF0000"/>
          <w:spacing w:val="0"/>
          <w:position w:val="0"/>
          <w:sz w:val="20"/>
          <w:shd w:fill="auto" w:val="clear"/>
        </w:rPr>
        <w:t xml:space="preserve">[Consultant] [Architect] [Engineer].</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mock-up, demonstrate prepared substrate, support/attachment framing, panel façade, exterior finishes and aesthetic appearance.</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Verify mock-up as conforming to manufacturer’s instructions and provisions of Contract Documents.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commence work of this Section until after mock-up has been accepted in writing by </w:t>
      </w:r>
      <w:r>
        <w:rPr>
          <w:rFonts w:ascii="Arial" w:hAnsi="Arial" w:cs="Arial" w:eastAsia="Arial"/>
          <w:color w:val="FF0000"/>
          <w:spacing w:val="0"/>
          <w:position w:val="0"/>
          <w:sz w:val="20"/>
          <w:shd w:fill="auto" w:val="clear"/>
        </w:rPr>
        <w:t xml:space="preserve">[Consultant] [Architect] [Engineer] [Owner’s Representative].</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Protect and maintain accepted mock-up as standard of quality for work of this Section.</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Accepted mock-ups may be incorporated into the work of this Section with written acceptance and approval by </w:t>
      </w:r>
      <w:r>
        <w:rPr>
          <w:rFonts w:ascii="Arial" w:hAnsi="Arial" w:cs="Arial" w:eastAsia="Arial"/>
          <w:color w:val="FF0000"/>
          <w:spacing w:val="0"/>
          <w:position w:val="0"/>
          <w:sz w:val="20"/>
          <w:shd w:fill="auto" w:val="clear"/>
        </w:rPr>
        <w:t xml:space="preserve">[Consultant] [Architect] [Engineer]</w:t>
      </w:r>
      <w:r>
        <w:rPr>
          <w:rFonts w:ascii="Arial" w:hAnsi="Arial" w:cs="Arial" w:eastAsia="Arial"/>
          <w:color w:val="auto"/>
          <w:spacing w:val="0"/>
          <w:position w:val="0"/>
          <w:sz w:val="20"/>
          <w:shd w:fill="auto" w:val="clear"/>
        </w:rPr>
        <w:t xml:space="preserve">. </w:t>
      </w:r>
    </w:p>
    <w:p>
      <w:pPr>
        <w:keepNext w:val="true"/>
        <w:keepLines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Delivery, Storage and Handling</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Ordering: Conform to manufacturer’s ordering instructions and lead time requirements to avoid construction delays.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Deliver materials and components in manufacturers’ unopened containers or bundles, fully identified by name, brand, type and grade.  Prevent damage during unloading, storing and installation.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protect and handle materials and components in accordance with manufacturer’s recommendations to prevent twisting, bending, mechanical damage, contamination and deterioration.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materials off ground on clean pallets and keep clean, dry, flat, and free of dirt and other foreign matter.</w:t>
      </w:r>
    </w:p>
    <w:p>
      <w:pPr>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expose panels with strippable film to direct sunlight or extreme heat.</w:t>
      </w:r>
    </w:p>
    <w:p>
      <w:pPr>
        <w:keepNext w:val="true"/>
        <w:keepLines w:val="true"/>
        <w:numPr>
          <w:ilvl w:val="0"/>
          <w:numId w:val="50"/>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Project/Site Conditions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keepLines w:val="true"/>
        <w:numPr>
          <w:ilvl w:val="0"/>
          <w:numId w:val="50"/>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WASTE MANAGEMENT AND DISPOSAL </w:t>
      </w:r>
    </w:p>
    <w:p>
      <w:pPr>
        <w:keepLines w:val="true"/>
        <w:numPr>
          <w:ilvl w:val="0"/>
          <w:numId w:val="50"/>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Separate waste materials for recycling in accordance with Section </w:t>
      </w:r>
      <w:r>
        <w:rPr>
          <w:rFonts w:ascii="Arial" w:hAnsi="Arial" w:cs="Arial" w:eastAsia="Arial"/>
          <w:color w:val="FF0000"/>
          <w:spacing w:val="0"/>
          <w:position w:val="0"/>
          <w:sz w:val="20"/>
          <w:shd w:fill="auto" w:val="clear"/>
        </w:rPr>
        <w:t xml:space="preserve">[01 74 21 </w:t>
      </w:r>
      <w:r>
        <w:rPr>
          <w:rFonts w:ascii="Arial" w:hAnsi="Arial" w:cs="Arial" w:eastAsia="Arial"/>
          <w:color w:val="FF0000"/>
          <w:spacing w:val="0"/>
          <w:position w:val="0"/>
          <w:sz w:val="20"/>
          <w:shd w:fill="auto" w:val="clear"/>
        </w:rPr>
        <w:t xml:space="preserve">–</w:t>
      </w:r>
      <w:r>
        <w:rPr>
          <w:rFonts w:ascii="Arial" w:hAnsi="Arial" w:cs="Arial" w:eastAsia="Arial"/>
          <w:color w:val="FF0000"/>
          <w:spacing w:val="0"/>
          <w:position w:val="0"/>
          <w:sz w:val="20"/>
          <w:shd w:fill="auto" w:val="clear"/>
        </w:rPr>
        <w:t xml:space="preserve"> Waste Management and Disposal].</w:t>
      </w:r>
    </w:p>
    <w:p>
      <w:pPr>
        <w:keepNext w:val="true"/>
        <w:keepLines w:val="true"/>
        <w:numPr>
          <w:ilvl w:val="0"/>
          <w:numId w:val="50"/>
        </w:numPr>
        <w:tabs>
          <w:tab w:val="left" w:pos="1710" w:leader="none"/>
          <w:tab w:val="left" w:pos="1440" w:leader="none"/>
        </w:tabs>
        <w:spacing w:before="240" w:after="0" w:line="240"/>
        <w:ind w:right="0" w:left="72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Warranty </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Product Warranties: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System:  Fifteen Year Limited Product Warranty against physical defects of systems and products that are properly installed and maintained according to the manufacturer’s published application instruction.</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Coating: Twenty Year Limited Finish Warranty against the following:</w:t>
      </w:r>
    </w:p>
    <w:p>
      <w:pPr>
        <w:keepLines w:val="true"/>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Peeling and checking of finish, except slight crazing or cracking as may occur on tightly roll-formed edges or brake bends at time of forming.</w:t>
      </w:r>
    </w:p>
    <w:p>
      <w:pPr>
        <w:keepLines w:val="true"/>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Chalking of exterior paint in excess of eight when measured in accordance with ASTM D4214</w:t>
      </w:r>
    </w:p>
    <w:p>
      <w:pPr>
        <w:keepLines w:val="true"/>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Fading or color changes in excess of five color difference units when measured in accordance with ASTM D2244 on exposed painted surfaces.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Contractor’s Labor Warrantees: </w:t>
      </w:r>
      <w:r>
        <w:rPr>
          <w:rFonts w:ascii="Arial" w:hAnsi="Arial" w:cs="Arial" w:eastAsia="Arial"/>
          <w:color w:val="FF0000"/>
          <w:spacing w:val="0"/>
          <w:position w:val="0"/>
          <w:sz w:val="20"/>
          <w:shd w:fill="auto" w:val="clear"/>
        </w:rPr>
        <w:t xml:space="preserve">[One-year] [Two-year] </w:t>
      </w:r>
      <w:r>
        <w:rPr>
          <w:rFonts w:ascii="Arial" w:hAnsi="Arial" w:cs="Arial" w:eastAsia="Arial"/>
          <w:color w:val="auto"/>
          <w:spacing w:val="0"/>
          <w:position w:val="0"/>
          <w:sz w:val="20"/>
          <w:shd w:fill="auto" w:val="clear"/>
        </w:rPr>
        <w:t xml:space="preserve">labor warranty, starting from </w:t>
      </w:r>
      <w:r>
        <w:rPr>
          <w:rFonts w:ascii="Arial" w:hAnsi="Arial" w:cs="Arial" w:eastAsia="Arial"/>
          <w:color w:val="FF0000"/>
          <w:spacing w:val="0"/>
          <w:position w:val="0"/>
          <w:sz w:val="20"/>
          <w:shd w:fill="auto" w:val="clear"/>
        </w:rPr>
        <w:t xml:space="preserve">[date of Owner acceptance of completed work] [Substantial Performance]</w:t>
      </w:r>
      <w:r>
        <w:rPr>
          <w:rFonts w:ascii="Arial" w:hAnsi="Arial" w:cs="Arial" w:eastAsia="Arial"/>
          <w:color w:val="auto"/>
          <w:spacing w:val="0"/>
          <w:position w:val="0"/>
          <w:sz w:val="20"/>
          <w:shd w:fill="auto" w:val="clear"/>
        </w:rPr>
        <w:t xml:space="preserve">, to cover repair of materials found to be defective as a result of installation errors.</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2   </w:t>
        <w:tab/>
        <w:t xml:space="preserve">PRODUCTS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2.1       Manufacturer</w:t>
      </w:r>
    </w:p>
    <w:p>
      <w:pPr>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0"/>
          <w:shd w:fill="auto" w:val="clear"/>
        </w:rPr>
        <w:t xml:space="preserve"> Architectural Systems, Tel: 855-438-2513, Info@AL13.com,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www.AL13.com</w:t>
        </w:r>
      </w:hyperlink>
      <w:r>
        <w:rPr>
          <w:rFonts w:ascii="Arial" w:hAnsi="Arial" w:cs="Arial" w:eastAsia="Arial"/>
          <w:color w:val="auto"/>
          <w:spacing w:val="0"/>
          <w:position w:val="0"/>
          <w:sz w:val="20"/>
          <w:shd w:fill="auto" w:val="clear"/>
        </w:rPr>
        <w:t xml:space="preserve">.</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2.2</w:t>
        <w:tab/>
        <w:t xml:space="preserve">Architectural Panels </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Aluminum-faced composite architectural panels:</w:t>
      </w:r>
    </w:p>
    <w:p>
      <w:pPr>
        <w:keepLines w:val="true"/>
        <w:numPr>
          <w:ilvl w:val="0"/>
          <w:numId w:val="50"/>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Panel Size: 4 feet x 8 feet (1220mm x 2440mm). </w:t>
      </w:r>
      <w:r>
        <w:rPr>
          <w:rFonts w:ascii="Arial" w:hAnsi="Arial" w:cs="Arial" w:eastAsia="Arial"/>
          <w:color w:val="FF0000"/>
          <w:spacing w:val="0"/>
          <w:position w:val="0"/>
          <w:sz w:val="20"/>
          <w:shd w:fill="auto" w:val="clear"/>
        </w:rPr>
        <w:t xml:space="preserve">[Custom sizes as required up to 5 feet x 10 feet (1524mm x 3048mm).]</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Thickness: </w:t>
      </w:r>
      <w:r>
        <w:rPr>
          <w:rFonts w:ascii="Arial" w:hAnsi="Arial" w:cs="Arial" w:eastAsia="Arial"/>
          <w:color w:val="FF0000"/>
          <w:spacing w:val="0"/>
          <w:position w:val="0"/>
          <w:sz w:val="20"/>
          <w:shd w:fill="auto" w:val="clear"/>
        </w:rPr>
        <w:t xml:space="preserve">[0.12 inch (3mm)] [0.157 inch (4mm)]</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Core Material</w:t>
      </w:r>
      <w:r>
        <w:rPr>
          <w:rFonts w:ascii="Arial" w:hAnsi="Arial" w:cs="Arial" w:eastAsia="Arial"/>
          <w:color w:val="FF0000"/>
          <w:spacing w:val="0"/>
          <w:position w:val="0"/>
          <w:sz w:val="20"/>
          <w:shd w:fill="auto" w:val="clear"/>
        </w:rPr>
        <w:t xml:space="preserve">: [polyethylene] [fire-rated mineral core (non-combustible)].</w:t>
      </w:r>
    </w:p>
    <w:p>
      <w:pPr>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Weight:</w:t>
      </w:r>
    </w:p>
    <w:p>
      <w:pPr>
        <w:numPr>
          <w:ilvl w:val="0"/>
          <w:numId w:val="50"/>
        </w:numPr>
        <w:tabs>
          <w:tab w:val="left" w:pos="2160" w:leader="none"/>
        </w:tabs>
        <w:spacing w:before="12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Polyethylene core: </w:t>
      </w:r>
    </w:p>
    <w:p>
      <w:pPr>
        <w:numPr>
          <w:ilvl w:val="0"/>
          <w:numId w:val="50"/>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0.12 inch/0.02 inch (3mm/0.50mm):  0.96 lb/ft</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(4.71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0"/>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0.16 inch/0.02 inch (4mm/0.50mm): 1.17 lb/ft</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(5.71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0"/>
        </w:numPr>
        <w:tabs>
          <w:tab w:val="left" w:pos="2160" w:leader="none"/>
        </w:tabs>
        <w:spacing w:before="12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Fire-rated mineral core: </w:t>
      </w:r>
    </w:p>
    <w:p>
      <w:pPr>
        <w:numPr>
          <w:ilvl w:val="0"/>
          <w:numId w:val="50"/>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0.12 inch/0.12 inch (3mm/0.40mm): 1.27 lb/ft</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(6.20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0"/>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0.16 inch/0.02 inch (4mm/0.50mm): 1.68 lb/ft</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(8.18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face sheets:  AA A3003-H24 alloy aluminum sheet with nominal thickness of 0.020 inches (0.5mm).</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fluorocarbon coating per AAMA 2605.</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w:t>
      </w:r>
      <w:r>
        <w:rPr>
          <w:rFonts w:ascii="Arial" w:hAnsi="Arial" w:cs="Arial" w:eastAsia="Arial"/>
          <w:color w:val="FF0000"/>
          <w:spacing w:val="0"/>
          <w:position w:val="0"/>
          <w:sz w:val="20"/>
          <w:shd w:fill="auto" w:val="clear"/>
        </w:rPr>
        <w:t xml:space="preserve">[as selected by Owner from manufacturer’s standard finish guide] [custom color matched]</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FFFF00" w:val="clear"/>
        </w:rPr>
        <w:t xml:space="preserve"> </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Architectural Panels as manufactured by Anenda Systems Inc.</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2.3       ATTACHMENT FRAMING </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Girts: Fabricated from minimum 18-gauge (1.27mm) thickness galvanized steel to ASTM A653, Grade 230 with Z275 coating. Material visible after assembly of wall panel shall be finished to match aluminum panels.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Subgirts: Structural quality steel to ASTM A653, with Z275 zinc coating to ASTM A792, adjustable double-angle profile as indicated to accept panel with structural attachment to building frame.</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 Plates, Corner Frames and End Frames:  AA 6063-T5 extruded aluminum, wall thickness generally 0.062 inches (1.57mm) thick.</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Joint Top Caps:  AA 6063-T5 extruded aluminum snap-lock top cap providing 1.83 inches (46.5mm) wide flat cap and 0.51 inches (13mm) deep reveal by 0.52 inches (13.1mm) [at bottom] to 0.59 inches (15.1mm) [at top]. The reveal has drafted side walls of five degrees.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Coating: High performance fluorocarbon finish.</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w:t>
      </w:r>
      <w:r>
        <w:rPr>
          <w:rFonts w:ascii="Arial" w:hAnsi="Arial" w:cs="Arial" w:eastAsia="Arial"/>
          <w:color w:val="FF0000"/>
          <w:spacing w:val="0"/>
          <w:position w:val="0"/>
          <w:sz w:val="20"/>
          <w:shd w:fill="auto" w:val="clear"/>
        </w:rPr>
        <w:t xml:space="preserve">[as selected by Owner from manufacturer’s finish guide] [custom color matched].</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  </w:t>
      </w:r>
    </w:p>
    <w:p>
      <w:pPr>
        <w:keepLines w:val="true"/>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recommended by manufacturer.</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2.4       Accessories </w:t>
      </w:r>
    </w:p>
    <w:p>
      <w:pPr>
        <w:keepLines w:val="true"/>
        <w:numPr>
          <w:ilvl w:val="0"/>
          <w:numId w:val="50"/>
        </w:numPr>
        <w:spacing w:before="120" w:after="12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adhesive tape for permanent adhesion of I-beam stiffeners to the back side of the ACM panel for added panel rigidity (optional application).</w:t>
      </w:r>
    </w:p>
    <w:p>
      <w:pPr>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Adhesive Tape as manufactured by Anenda Systems Inc.</w:t>
      </w:r>
    </w:p>
    <w:p>
      <w:pPr>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w:t>
      </w:r>
    </w:p>
    <w:p>
      <w:pPr>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Steel Substrate: #10-16 x ¾ inch (19.05mm) self-drilling screws with corrosion-resistant coating. Installed every 24 inches (60.96cm) on center.</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#10-16 x ¾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drill-point.</w:t>
      </w:r>
    </w:p>
    <w:p>
      <w:pPr>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Wood Substrate: #12-14 x 1 ½ inch (38mm) mini drill-point fasteners with EPDM composite washers and corrosion-resistant coating. Installed every 16 inches (40.64cm) on center, unless securing a segmented (3 ¼ inch) (8.25cm) backplate (installed 16 inches (40.64cm) on center), in which case two fasteners per segmented piece are required.</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#12-14 x 1 ½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mini-drill point.</w:t>
      </w:r>
    </w:p>
    <w:p>
      <w:pPr>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Concrete Walls: 1/4 inch (6.35mm) diameter threaded stainless steel concrete screw anchor. Minimum embedment into concrete of 1 ¼ inch (31.75mm). Ultimate withdrawal resistance shall be a minimum of 750 lbf. Installed every 24 inches (60.96cm) on center.</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¼ inch stainless steel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2"/>
          <w:shd w:fill="auto" w:val="clear"/>
        </w:rPr>
        <w:t xml:space="preserve"> Hex-Head Anchor, with matched tolerance drill bit.</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 larger installed areas over concrete, it is recommended to install a furring bar or Z-girt for panel attachment. Attaching frame components directly to concrete is time consuming. </w:t>
      </w:r>
    </w:p>
    <w:p>
      <w:pPr>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B117 salt spray performance with no white or red rust; 18 cycles of ASTM G87 (DIN 50018) SO</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Kesternich testing with not more than 15 percent red rust.</w:t>
      </w:r>
    </w:p>
    <w:p>
      <w:pPr>
        <w:numPr>
          <w:ilvl w:val="0"/>
          <w:numId w:val="50"/>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Stainless Steel:  304, 305, or 316 Series Stainless Steel.</w:t>
      </w:r>
    </w:p>
    <w:p>
      <w:pPr>
        <w:numPr>
          <w:ilvl w:val="0"/>
          <w:numId w:val="50"/>
        </w:numPr>
        <w:spacing w:before="60" w:after="0" w:line="240"/>
        <w:ind w:right="0" w:left="2340" w:hanging="360"/>
        <w:jc w:val="left"/>
        <w:rPr>
          <w:rFonts w:ascii="Arial" w:hAnsi="Arial" w:cs="Arial" w:eastAsia="Arial"/>
          <w:color w:val="auto"/>
          <w:spacing w:val="0"/>
          <w:position w:val="0"/>
          <w:sz w:val="20"/>
          <w:shd w:fill="auto" w:val="clear"/>
        </w:rPr>
      </w:pP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Tape: Manufacturers standard material for separating dissimilar metals from direct contact.</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Fastenings: Corrosion resistant, hot dipped galvanized bugle head screws with 1 1/2-inch (38mm) diameter washer, one inch (25 mm) minimum penetration into framing.</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Rigid type </w:t>
      </w:r>
      <w:r>
        <w:rPr>
          <w:rFonts w:ascii="Arial" w:hAnsi="Arial" w:cs="Arial" w:eastAsia="Arial"/>
          <w:color w:val="FF0000"/>
          <w:spacing w:val="0"/>
          <w:position w:val="0"/>
          <w:sz w:val="20"/>
          <w:shd w:fill="auto" w:val="clear"/>
        </w:rPr>
        <w:t xml:space="preserve">[4] [3] [2] </w:t>
      </w:r>
      <w:r>
        <w:rPr>
          <w:rFonts w:ascii="Arial" w:hAnsi="Arial" w:cs="Arial" w:eastAsia="Arial"/>
          <w:color w:val="auto"/>
          <w:spacing w:val="0"/>
          <w:position w:val="0"/>
          <w:sz w:val="20"/>
          <w:shd w:fill="auto" w:val="clear"/>
        </w:rPr>
        <w:t xml:space="preserve">as specified in Section 07 21 13.</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Air/Vapor Retarder: Selfadhesive membrane as specified in Section 07 27 13.</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System Sealants: Sealants within the panel system, as recommended by manufacturer, color </w:t>
      </w:r>
      <w:r>
        <w:rPr>
          <w:rFonts w:ascii="Arial" w:hAnsi="Arial" w:cs="Arial" w:eastAsia="Arial"/>
          <w:color w:val="FF0000"/>
          <w:spacing w:val="0"/>
          <w:position w:val="0"/>
          <w:sz w:val="20"/>
          <w:shd w:fill="auto" w:val="clear"/>
        </w:rPr>
        <w:t xml:space="preserve">[as selected by Consultant] [to match adjacent surface].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Gaskets: Santoprene or EPDM.</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Flashings: Fabricate flashing from 0.062 inch (1.57mm) minimum thickness aluminum sheet. Where exposed to view, finish to match adjacent panels. Provide lap strip under flashing at abutted conditions; with lapped surfaces sealed with a fullbed of nonhardening sealant.</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2.5       FABRICATION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wall panels and components shall comply with details as indicated on shop drawings.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components shall be factory fabricated ready for field installation. All components shall match quality and installation of accepted mockup specified above.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Tolerances: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bow shall not exceed 0.8 percent of panel overall dimension in width or length.</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dimensions shall allow for field adjustment and thermal movement.</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lines, breaks and curves shall be sharp, smooth and free of warps or buckles.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shall be visually flat.</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surfaces shall be free of scratches or marks caused during fabrication or installation.</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3   </w:t>
        <w:tab/>
        <w:t xml:space="preserve">EXECUTION</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3.1       MANUFACTURER’S INSTRUCTIONS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comply with manufacturer's written recommendations or specifications, including product technical bulletins, handling, storage and installation instructions, and datasheets.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3.2       PREPARATION </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Installing Contractor shall obtain all dimensions from job site.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all structural support is aligned, planar and in acceptable condition.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Building surfaces shall be smooth, clean and dry, and free from defects detrimental to the installation of the system. Notify </w:t>
      </w:r>
      <w:r>
        <w:rPr>
          <w:rFonts w:ascii="Arial" w:hAnsi="Arial" w:cs="Arial" w:eastAsia="Arial"/>
          <w:color w:val="FF0000"/>
          <w:spacing w:val="0"/>
          <w:position w:val="0"/>
          <w:sz w:val="20"/>
          <w:shd w:fill="auto" w:val="clear"/>
        </w:rPr>
        <w:t xml:space="preserve">[Owner’s Representative] [General Contractor] [Architect] [Consultant]</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of conditions not acceptable for installation of system.</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Inspect wall system and components before installation and verify that there is no shipping damage.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damaged panels; repair or replace as required for smooth and consistent finished appearance.</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3.3       Installation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panel system and components in accordance with manufacturer’s published installation instructions and shop drawings.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continuity of building envelope air barrier and vapor retarder systems.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Erect components plumb and true.</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system shall allow for vertical and horizontal thermal movement due to thermal changes. The product shall not be installed where surface temperatures are anticipated to exceed 180°F (82°C). Buckling of panels, opening of joints, undue stress on fasteners, failure of sealants or any other detrimental effects due to thermal movement shall not be permitted.</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Drill 0.25-inch (6.35mm) drainage weep holes length of horizontally oriented bottom end frames located at base of panelized wall areas as recommended by building envelope engineer.</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Adjust assembly to secure panels safely to wall while allowing for expansion and contraction of components.  Ensure extrusion tabs overlap panel edges by at least half of extrusion tab depth.</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defective component parts, including warped, bowed, dented, abraised, and broken members.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cut, trim, weld, or braze component parts during erection in manner which would damage finish, decrease strength, or result in visual imperfection or failure in performance.  Return component parts which require alteration to shop for further fabrication, if possible, or for replacement with new parts.</w:t>
      </w:r>
    </w:p>
    <w:p>
      <w:pPr>
        <w:keepNext w:val="true"/>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Site Tolerances:</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Variation from plane or location shown on shop drawings:  0.4 inches over 33feet (10mm over 10m) length to maximum of 0.79 inches over 328 feet (20mm over 100m).</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Deviation of vertical and horizontal members:  0.12 inches over 28-feet (3mm maximum over 8.5m) run.</w:t>
      </w:r>
    </w:p>
    <w:p>
      <w:pPr>
        <w:keepLines w:val="true"/>
        <w:numPr>
          <w:ilvl w:val="0"/>
          <w:numId w:val="50"/>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Offset between two adjacent members abutted end-to-end, in line:  maximum 0.03 inch (0.75mm) from true alignment.</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Touch-Up Painting:  Inspect completed wall system and apply matching touch-up paint as needed to correct minor paint flaws.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3.4       Field Quality Control</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manufacturer's field services consisting of product use recommendations and periodic site visits for inspection of product installation in accordance with manufacturer's instructions.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3.5       Cleaning and Protection </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and replace panels damaged beyond repair as direct result of panel installation.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Repair panels with minor damage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protective film from finish panels within 60 days once installation is complete or as otherwise directed by the </w:t>
      </w:r>
      <w:r>
        <w:rPr>
          <w:rFonts w:ascii="Arial" w:hAnsi="Arial" w:cs="Arial" w:eastAsia="Arial"/>
          <w:color w:val="FF0000"/>
          <w:spacing w:val="0"/>
          <w:position w:val="0"/>
          <w:sz w:val="20"/>
          <w:shd w:fill="auto" w:val="clear"/>
        </w:rPr>
        <w:t xml:space="preserve">[Owner] [Owner’s Representative] [Architect] [Consultant] [Engineer]</w:t>
      </w:r>
      <w:r>
        <w:rPr>
          <w:rFonts w:ascii="Arial" w:hAnsi="Arial" w:cs="Arial" w:eastAsia="Arial"/>
          <w:color w:val="auto"/>
          <w:spacing w:val="0"/>
          <w:position w:val="0"/>
          <w:sz w:val="20"/>
          <w:shd w:fill="auto" w:val="clear"/>
        </w:rPr>
        <w:t xml:space="preserv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additional protection required after installation to protect assembly and finishes during construction.</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Weep holes and drainage channels shall be unobstructed and free of dirt and sealants.</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final acceptance of installation, remove surplus and protective materials, excess materials, rubbish, tools and equipment from site.</w:t>
      </w:r>
    </w:p>
    <w:p>
      <w:pPr>
        <w:keepLines w:val="true"/>
        <w:numPr>
          <w:ilvl w:val="0"/>
          <w:numId w:val="50"/>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Leave panels clean and free of debris and residue.  Where required, clean exposed panel surfaces using non-abrasive detergent and clean water in accordance with manufacturer’s instructions.</w:t>
      </w:r>
    </w:p>
    <w:p>
      <w:pPr>
        <w:spacing w:before="24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END OF SECTION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